
<file path=[Content_Types].xml><?xml version="1.0" encoding="utf-8"?>
<Types xmlns="http://schemas.openxmlformats.org/package/2006/content-types">
  <Default Extension="xml" ContentType="application/xml"/>
  <Default Extension="emf" ContentType="image/x-e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44"/>
          <w:szCs w:val="44"/>
          <w:lang w:val="en-US" w:eastAsia="zh-CN"/>
        </w:rPr>
      </w:pPr>
      <w:bookmarkStart w:id="3" w:name="_GoBack"/>
      <w:bookmarkEnd w:id="3"/>
    </w:p>
    <w:p>
      <w:pPr>
        <w:jc w:val="center"/>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南澳县林长制智慧平台升级建设项目</w:t>
      </w:r>
    </w:p>
    <w:p>
      <w:pPr>
        <w:jc w:val="center"/>
        <w:rPr>
          <w:rFonts w:hint="default" w:ascii="仿宋" w:hAnsi="仿宋" w:eastAsia="仿宋" w:cs="仿宋"/>
          <w:sz w:val="32"/>
          <w:szCs w:val="32"/>
          <w:lang w:val="en-US" w:eastAsia="zh-CN"/>
        </w:rPr>
      </w:pPr>
      <w:r>
        <w:rPr>
          <w:rFonts w:hint="eastAsia" w:ascii="方正小标宋简体" w:hAnsi="方正小标宋简体" w:eastAsia="方正小标宋简体" w:cs="方正小标宋简体"/>
          <w:sz w:val="44"/>
          <w:szCs w:val="44"/>
          <w:lang w:val="en-US" w:eastAsia="zh-CN"/>
        </w:rPr>
        <w:t>实施计划</w:t>
      </w:r>
    </w:p>
    <w:p>
      <w:pPr>
        <w:pageBreakBefore w:val="0"/>
        <w:widowControl w:val="0"/>
        <w:kinsoku/>
        <w:wordWrap/>
        <w:overflowPunct/>
        <w:topLinePunct w:val="0"/>
        <w:autoSpaceDE/>
        <w:autoSpaceDN/>
        <w:bidi w:val="0"/>
        <w:adjustRightInd/>
        <w:snapToGrid/>
        <w:spacing w:line="260" w:lineRule="atLeas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为做好</w:t>
      </w:r>
      <w:r>
        <w:rPr>
          <w:rFonts w:hint="eastAsia" w:ascii="仿宋" w:hAnsi="仿宋" w:eastAsia="仿宋" w:cs="仿宋"/>
          <w:sz w:val="32"/>
          <w:szCs w:val="32"/>
        </w:rPr>
        <w:t>南澳县</w:t>
      </w:r>
      <w:r>
        <w:rPr>
          <w:rFonts w:hint="eastAsia" w:ascii="仿宋" w:hAnsi="仿宋" w:eastAsia="仿宋" w:cs="仿宋"/>
          <w:sz w:val="32"/>
          <w:szCs w:val="32"/>
          <w:lang w:val="en-US" w:eastAsia="zh-CN"/>
        </w:rPr>
        <w:t>林长制智慧</w:t>
      </w:r>
      <w:r>
        <w:rPr>
          <w:rFonts w:hint="eastAsia" w:ascii="仿宋" w:hAnsi="仿宋" w:eastAsia="仿宋" w:cs="仿宋"/>
          <w:sz w:val="32"/>
          <w:szCs w:val="32"/>
        </w:rPr>
        <w:t>平台</w:t>
      </w:r>
      <w:r>
        <w:rPr>
          <w:rFonts w:hint="eastAsia" w:ascii="仿宋" w:hAnsi="仿宋" w:eastAsia="仿宋" w:cs="仿宋"/>
          <w:sz w:val="32"/>
          <w:szCs w:val="32"/>
          <w:lang w:val="en-US" w:eastAsia="zh-CN"/>
        </w:rPr>
        <w:t>升级</w:t>
      </w:r>
      <w:r>
        <w:rPr>
          <w:rFonts w:hint="eastAsia" w:ascii="仿宋" w:hAnsi="仿宋" w:eastAsia="仿宋" w:cs="仿宋"/>
          <w:sz w:val="32"/>
          <w:szCs w:val="32"/>
        </w:rPr>
        <w:t>建设工作，有效推动南澳县全面林长制，构建林长责任体系，发挥“一长两员”力量，从而实现建立县、镇、村各级林长体系，实现“山有人管、树有人护、责有人担”</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特制定本实施方案。</w:t>
      </w:r>
    </w:p>
    <w:p>
      <w:pPr>
        <w:numPr>
          <w:ilvl w:val="0"/>
          <w:numId w:val="2"/>
        </w:numPr>
        <w:ind w:firstLine="640" w:firstLineChars="200"/>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项目背景</w:t>
      </w:r>
    </w:p>
    <w:p>
      <w:pPr>
        <w:numPr>
          <w:ilvl w:val="0"/>
          <w:numId w:val="0"/>
        </w:num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rPr>
        <w:t>按照中共中央办公厅、国务院办公厅印发的《关于全面推行林长制的意见》和广东要求全省加快推进全面推行林长制的相关要求，明确指出推进林长制信息化建设，初步建立智慧林长综合管理平台，提升森林草原资源保护发展智慧化管理水平。</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目前，南澳县已完成林长综合管理平台一期建设，主要实现了南澳县林长一张图、一长两员、任务管理、事件管理、统计分析等功能，满足基层日常使用，但是该系统建设时由于经费有限，未实现与市级林长制平台打通，也未对接南澳县远程林火监控系统，系统未能实现整合目前林业相关信息化系统，内部林业数据不能共享，上级领导部门无法有效监管，存在信息孤岛问题。随着南澳林区建设的不断发展，以及森林资源动态变化，现有远程林火监控尚未实现南澳县林区全方位监控，所以急需对现有南澳县林长综合管理平台进行升级，实现南澳县林长制业务向数字化、网络化、智能化发展。</w:t>
      </w:r>
    </w:p>
    <w:p>
      <w:pPr>
        <w:numPr>
          <w:ilvl w:val="0"/>
          <w:numId w:val="2"/>
        </w:numPr>
        <w:ind w:left="0" w:leftChars="0" w:firstLine="640" w:firstLineChars="200"/>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项目实施时间、资金</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75" w:afterAutospacing="0" w:line="240" w:lineRule="auto"/>
        <w:ind w:left="0" w:right="0" w:firstLine="48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（一）项目实施时间</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75" w:afterAutospacing="0" w:line="240" w:lineRule="auto"/>
        <w:ind w:left="0" w:right="0" w:firstLine="645"/>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项目实施时间为2022年3月至12月。</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75" w:afterAutospacing="0" w:line="240" w:lineRule="auto"/>
        <w:ind w:left="0" w:right="0" w:firstLine="48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（二）项目投入资金</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75" w:afterAutospacing="0" w:line="240" w:lineRule="auto"/>
        <w:ind w:left="0" w:right="0" w:firstLine="645"/>
        <w:jc w:val="both"/>
        <w:rPr>
          <w:rFonts w:hint="eastAsia" w:ascii="仿宋" w:hAnsi="仿宋" w:eastAsia="仿宋" w:cs="仿宋"/>
          <w:sz w:val="32"/>
          <w:szCs w:val="32"/>
        </w:rPr>
      </w:pPr>
      <w:r>
        <w:rPr>
          <w:rFonts w:hint="eastAsia" w:ascii="仿宋" w:hAnsi="仿宋" w:eastAsia="仿宋" w:cs="仿宋"/>
          <w:kern w:val="2"/>
          <w:sz w:val="32"/>
          <w:szCs w:val="32"/>
          <w:lang w:val="en-US" w:eastAsia="zh-CN" w:bidi="ar-SA"/>
        </w:rPr>
        <w:t>由南澳县涉农资金统筹整合领导小组安排</w:t>
      </w:r>
      <w:r>
        <w:rPr>
          <w:rFonts w:hint="eastAsia" w:ascii="仿宋" w:hAnsi="仿宋" w:eastAsia="仿宋" w:cs="仿宋"/>
          <w:sz w:val="32"/>
          <w:szCs w:val="32"/>
        </w:rPr>
        <w:t>南澳县</w:t>
      </w:r>
      <w:r>
        <w:rPr>
          <w:rFonts w:hint="eastAsia" w:ascii="仿宋" w:hAnsi="仿宋" w:eastAsia="仿宋" w:cs="仿宋"/>
          <w:sz w:val="32"/>
          <w:szCs w:val="32"/>
          <w:lang w:val="en-US" w:eastAsia="zh-CN"/>
        </w:rPr>
        <w:t>林长制智慧</w:t>
      </w:r>
      <w:r>
        <w:rPr>
          <w:rFonts w:hint="eastAsia" w:ascii="仿宋" w:hAnsi="仿宋" w:eastAsia="仿宋" w:cs="仿宋"/>
          <w:sz w:val="32"/>
          <w:szCs w:val="32"/>
        </w:rPr>
        <w:t>平台</w:t>
      </w:r>
      <w:r>
        <w:rPr>
          <w:rFonts w:hint="eastAsia" w:ascii="仿宋" w:hAnsi="仿宋" w:eastAsia="仿宋" w:cs="仿宋"/>
          <w:sz w:val="32"/>
          <w:szCs w:val="32"/>
          <w:lang w:val="en-US" w:eastAsia="zh-CN"/>
        </w:rPr>
        <w:t>升级</w:t>
      </w:r>
      <w:r>
        <w:rPr>
          <w:rFonts w:hint="eastAsia" w:ascii="仿宋" w:hAnsi="仿宋" w:eastAsia="仿宋" w:cs="仿宋"/>
          <w:sz w:val="32"/>
          <w:szCs w:val="32"/>
        </w:rPr>
        <w:t>建设</w:t>
      </w:r>
      <w:r>
        <w:rPr>
          <w:rFonts w:hint="eastAsia" w:ascii="仿宋" w:hAnsi="仿宋" w:eastAsia="仿宋" w:cs="仿宋"/>
          <w:kern w:val="2"/>
          <w:sz w:val="32"/>
          <w:szCs w:val="32"/>
          <w:lang w:val="en-US" w:eastAsia="zh-CN" w:bidi="ar-SA"/>
        </w:rPr>
        <w:t>项目资金50万元。</w:t>
      </w:r>
    </w:p>
    <w:p>
      <w:pPr>
        <w:numPr>
          <w:ilvl w:val="0"/>
          <w:numId w:val="2"/>
        </w:numPr>
        <w:ind w:left="0" w:leftChars="0" w:firstLine="640" w:firstLineChars="200"/>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建设目标</w:t>
      </w:r>
    </w:p>
    <w:p>
      <w:pPr>
        <w:numPr>
          <w:ilvl w:val="0"/>
          <w:numId w:val="0"/>
        </w:numPr>
        <w:ind w:firstLine="640" w:firstLineChars="200"/>
        <w:jc w:val="both"/>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一</w:t>
      </w:r>
      <w:r>
        <w:rPr>
          <w:rFonts w:hint="eastAsia" w:ascii="仿宋" w:hAnsi="仿宋" w:eastAsia="仿宋" w:cs="仿宋"/>
          <w:sz w:val="32"/>
          <w:szCs w:val="32"/>
          <w:lang w:eastAsia="zh-CN"/>
        </w:rPr>
        <w:t>）</w:t>
      </w:r>
      <w:r>
        <w:rPr>
          <w:rFonts w:hint="eastAsia" w:ascii="仿宋" w:hAnsi="仿宋" w:eastAsia="仿宋" w:cs="仿宋"/>
          <w:sz w:val="32"/>
          <w:szCs w:val="32"/>
        </w:rPr>
        <w:t>标准规范建设：结合林业信息技术应用的实际和林业信息化特点建立林长制管理标准体系。</w:t>
      </w:r>
    </w:p>
    <w:p>
      <w:pPr>
        <w:numPr>
          <w:ilvl w:val="0"/>
          <w:numId w:val="0"/>
        </w:numPr>
        <w:ind w:firstLine="640" w:firstLineChars="200"/>
        <w:jc w:val="both"/>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二</w:t>
      </w:r>
      <w:r>
        <w:rPr>
          <w:rFonts w:hint="eastAsia" w:ascii="仿宋" w:hAnsi="仿宋" w:eastAsia="仿宋" w:cs="仿宋"/>
          <w:sz w:val="32"/>
          <w:szCs w:val="32"/>
          <w:lang w:eastAsia="zh-CN"/>
        </w:rPr>
        <w:t>）</w:t>
      </w:r>
      <w:r>
        <w:rPr>
          <w:rFonts w:hint="eastAsia" w:ascii="仿宋" w:hAnsi="仿宋" w:eastAsia="仿宋" w:cs="仿宋"/>
          <w:sz w:val="32"/>
          <w:szCs w:val="32"/>
        </w:rPr>
        <w:t>应用功能建设：在一期平台的基础上，完善南澳县林长一张图信息平台，同时整合现有远程林火监控，将目前已建远程林火监控接入林长综合管理平台。</w:t>
      </w:r>
    </w:p>
    <w:p>
      <w:pPr>
        <w:numPr>
          <w:ilvl w:val="0"/>
          <w:numId w:val="0"/>
        </w:numPr>
        <w:ind w:firstLine="640" w:firstLineChars="200"/>
        <w:jc w:val="both"/>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三</w:t>
      </w:r>
      <w:r>
        <w:rPr>
          <w:rFonts w:hint="eastAsia" w:ascii="仿宋" w:hAnsi="仿宋" w:eastAsia="仿宋" w:cs="仿宋"/>
          <w:sz w:val="32"/>
          <w:szCs w:val="32"/>
          <w:lang w:eastAsia="zh-CN"/>
        </w:rPr>
        <w:t>）</w:t>
      </w:r>
      <w:r>
        <w:rPr>
          <w:rFonts w:hint="eastAsia" w:ascii="仿宋" w:hAnsi="仿宋" w:eastAsia="仿宋" w:cs="仿宋"/>
          <w:sz w:val="32"/>
          <w:szCs w:val="32"/>
        </w:rPr>
        <w:t>林长制公示牌：拟在南澳县林区入口放置1套林长制公示牌。用于林长制相关信息发布、宣传。</w:t>
      </w:r>
    </w:p>
    <w:p>
      <w:pPr>
        <w:numPr>
          <w:ilvl w:val="0"/>
          <w:numId w:val="0"/>
        </w:numPr>
        <w:ind w:firstLine="640" w:firstLineChars="200"/>
        <w:jc w:val="both"/>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四</w:t>
      </w:r>
      <w:r>
        <w:rPr>
          <w:rFonts w:hint="eastAsia" w:ascii="仿宋" w:hAnsi="仿宋" w:eastAsia="仿宋" w:cs="仿宋"/>
          <w:sz w:val="32"/>
          <w:szCs w:val="32"/>
          <w:lang w:eastAsia="zh-CN"/>
        </w:rPr>
        <w:t>）</w:t>
      </w:r>
      <w:r>
        <w:rPr>
          <w:rFonts w:hint="eastAsia" w:ascii="仿宋" w:hAnsi="仿宋" w:eastAsia="仿宋" w:cs="仿宋"/>
          <w:sz w:val="32"/>
          <w:szCs w:val="32"/>
        </w:rPr>
        <w:t>智能球机监控系统：拟在林区制高点安装3套智能360度旋转的球机系统，对林区全方位进行监控。把森林防火各项措施抓早、抓细、抓实，有效地避免森林火灾的发生。</w:t>
      </w:r>
    </w:p>
    <w:p>
      <w:pPr>
        <w:numPr>
          <w:ilvl w:val="0"/>
          <w:numId w:val="0"/>
        </w:numPr>
        <w:ind w:firstLine="640" w:firstLineChars="200"/>
        <w:jc w:val="both"/>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五</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森林哨位</w:t>
      </w:r>
      <w:r>
        <w:rPr>
          <w:rFonts w:hint="eastAsia" w:ascii="仿宋" w:hAnsi="仿宋" w:eastAsia="仿宋" w:cs="仿宋"/>
          <w:sz w:val="32"/>
          <w:szCs w:val="32"/>
        </w:rPr>
        <w:t>：在林区出入口布设4套森林哨位，用户防火宣传，切实提高群众防火意识。</w:t>
      </w:r>
    </w:p>
    <w:p>
      <w:pPr>
        <w:numPr>
          <w:ilvl w:val="0"/>
          <w:numId w:val="0"/>
        </w:numPr>
        <w:ind w:firstLine="640" w:firstLineChars="200"/>
        <w:jc w:val="both"/>
        <w:rPr>
          <w:rFonts w:hint="eastAsia" w:ascii="仿宋" w:hAnsi="仿宋" w:eastAsia="仿宋" w:cs="仿宋"/>
          <w:sz w:val="32"/>
          <w:szCs w:val="32"/>
          <w:lang w:eastAsia="zh-CN"/>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六</w:t>
      </w:r>
      <w:r>
        <w:rPr>
          <w:rFonts w:hint="eastAsia" w:ascii="仿宋" w:hAnsi="仿宋" w:eastAsia="仿宋" w:cs="仿宋"/>
          <w:sz w:val="32"/>
          <w:szCs w:val="32"/>
          <w:lang w:eastAsia="zh-CN"/>
        </w:rPr>
        <w:t>）</w:t>
      </w:r>
      <w:r>
        <w:rPr>
          <w:rFonts w:hint="eastAsia" w:ascii="仿宋" w:hAnsi="仿宋" w:eastAsia="仿宋" w:cs="仿宋"/>
          <w:sz w:val="32"/>
          <w:szCs w:val="32"/>
        </w:rPr>
        <w:t>红外相机：在林区布设10台红外相机，用于南澳岛野生动物监测。</w:t>
      </w:r>
    </w:p>
    <w:p>
      <w:pPr>
        <w:numPr>
          <w:ilvl w:val="0"/>
          <w:numId w:val="2"/>
        </w:numPr>
        <w:ind w:left="0" w:leftChars="0" w:firstLine="640" w:firstLineChars="200"/>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建设思路</w:t>
      </w:r>
    </w:p>
    <w:p>
      <w:pPr>
        <w:numPr>
          <w:ilvl w:val="0"/>
          <w:numId w:val="0"/>
        </w:numPr>
        <w:ind w:firstLine="640" w:firstLineChars="200"/>
        <w:jc w:val="both"/>
        <w:rPr>
          <w:rFonts w:hint="eastAsia" w:ascii="仿宋" w:hAnsi="仿宋" w:eastAsia="仿宋" w:cs="仿宋"/>
          <w:sz w:val="32"/>
          <w:szCs w:val="32"/>
        </w:rPr>
      </w:pPr>
      <w:r>
        <w:rPr>
          <w:rFonts w:hint="eastAsia" w:ascii="仿宋" w:hAnsi="仿宋" w:eastAsia="仿宋" w:cs="仿宋"/>
          <w:sz w:val="32"/>
          <w:szCs w:val="32"/>
        </w:rPr>
        <w:t>利用卫星遥感监测、无人机、远程视频监控、森林哨位、及护林员网格化巡护，实现天空地人的全面立体监测。以林长工作一张图、森林资源传感物联网一张网建设智慧林长管理平台，同时建立森林资源全方位监测体系、形成一套林长制管理机制，构建森林资源“一张图” “一张网”“一体系”“一机制”“一中心”的智慧服务信息平台。同时实现现有林业信息化系统整合，与市级林长制平台及南澳县远程林火监控系统对接，建立林业资源专题数据“一套数”、信息上下一体化的综合数据应用支撑平台。</w:t>
      </w:r>
    </w:p>
    <w:p>
      <w:pPr>
        <w:numPr>
          <w:ilvl w:val="0"/>
          <w:numId w:val="2"/>
        </w:numPr>
        <w:ind w:left="0" w:leftChars="0" w:firstLine="640" w:firstLineChars="200"/>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总体设计</w:t>
      </w:r>
    </w:p>
    <w:p>
      <w:pPr>
        <w:numPr>
          <w:ilvl w:val="0"/>
          <w:numId w:val="3"/>
        </w:numPr>
        <w:ind w:left="580" w:leftChars="0" w:firstLine="0" w:firstLineChars="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总体框架设计</w:t>
      </w:r>
    </w:p>
    <w:p>
      <w:pPr>
        <w:numPr>
          <w:ilvl w:val="0"/>
          <w:numId w:val="0"/>
        </w:numPr>
        <w:ind w:firstLine="420" w:firstLineChars="200"/>
        <w:jc w:val="both"/>
        <w:rPr>
          <w:rFonts w:hint="default" w:ascii="仿宋" w:hAnsi="仿宋" w:eastAsia="仿宋" w:cs="仿宋"/>
          <w:sz w:val="32"/>
          <w:szCs w:val="32"/>
          <w:lang w:val="en-US" w:eastAsia="zh-CN"/>
        </w:rPr>
      </w:pPr>
      <w:r>
        <w:object>
          <v:shape id="_x0000_i1025" o:spt="75" type="#_x0000_t75" style="height:378pt;width:415pt;" o:ole="t" filled="f" o:preferrelative="t" stroked="f" coordsize="21600,21600">
            <v:path/>
            <v:fill on="f" focussize="0,0"/>
            <v:stroke on="f" joinstyle="miter"/>
            <v:imagedata r:id="rId4" o:title=""/>
            <o:lock v:ext="edit" aspectratio="t"/>
            <w10:wrap type="none"/>
            <w10:anchorlock/>
          </v:shape>
          <o:OLEObject Type="Embed" ProgID="Visio.Drawing.15" ShapeID="_x0000_i1025" DrawAspect="Content" ObjectID="_1468075725">
            <o:LockedField>false</o:LockedField>
          </o:OLEObject>
        </w:object>
      </w:r>
      <w:r>
        <w:rPr>
          <w:rFonts w:hint="eastAsia" w:ascii="仿宋" w:hAnsi="仿宋" w:eastAsia="仿宋" w:cs="仿宋"/>
          <w:sz w:val="32"/>
          <w:szCs w:val="32"/>
          <w:lang w:val="en-US" w:eastAsia="zh-CN"/>
        </w:rPr>
        <w:t xml:space="preserve">                     </w:t>
      </w:r>
      <w:r>
        <w:rPr>
          <w:rFonts w:hint="eastAsia" w:ascii="楷体" w:hAnsi="楷体" w:eastAsia="楷体" w:cs="楷体"/>
          <w:b/>
          <w:bCs/>
          <w:sz w:val="28"/>
          <w:szCs w:val="28"/>
          <w:lang w:val="en-US" w:eastAsia="zh-CN"/>
        </w:rPr>
        <w:t xml:space="preserve">  总体框架设计示意图</w:t>
      </w:r>
    </w:p>
    <w:p>
      <w:pPr>
        <w:numPr>
          <w:ilvl w:val="0"/>
          <w:numId w:val="0"/>
        </w:numPr>
        <w:ind w:firstLine="640" w:firstLineChars="200"/>
        <w:jc w:val="both"/>
        <w:rPr>
          <w:rFonts w:hint="eastAsia" w:ascii="仿宋" w:hAnsi="仿宋" w:eastAsia="仿宋" w:cs="仿宋"/>
          <w:sz w:val="32"/>
          <w:szCs w:val="32"/>
        </w:rPr>
      </w:pPr>
      <w:r>
        <w:rPr>
          <w:rFonts w:hint="eastAsia" w:ascii="仿宋" w:hAnsi="仿宋" w:eastAsia="仿宋" w:cs="仿宋"/>
          <w:sz w:val="32"/>
          <w:szCs w:val="32"/>
        </w:rPr>
        <w:t>以多维感知的物联网森林资源监测体系为基础，结合林长数据智能分析技术，通过建立统一的技术标准、管理规范，指导南澳县智慧林长制信息管理平台的开发建设和运行管理,建设林业智能应用支撑体系，打造智慧林长管理平台。林长制信息管理系统在林长制制度体系下进行建设，依靠林业信息化行业标准规范、运维和网络安全保障体系提供安全和运行保障。平台自下而上为感知层、网络层、支撑层、数据层、平台应用层、展示六层结构。</w:t>
      </w:r>
    </w:p>
    <w:p>
      <w:pPr>
        <w:numPr>
          <w:ilvl w:val="0"/>
          <w:numId w:val="0"/>
        </w:numPr>
        <w:ind w:firstLine="640" w:firstLineChars="200"/>
        <w:jc w:val="both"/>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采集和网络层依靠先进的无人机设备、卫星遥感、物联网技术、4G/5G通讯技术以及人工巡查，实现对森林资源的实时远程监测和巡护管理；</w:t>
      </w:r>
    </w:p>
    <w:p>
      <w:pPr>
        <w:numPr>
          <w:ilvl w:val="0"/>
          <w:numId w:val="0"/>
        </w:numPr>
        <w:ind w:firstLine="640" w:firstLineChars="200"/>
        <w:jc w:val="both"/>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数据层通过对林业范围内地图基础数据、资源数据、“一长两员”组织数据、监测数据和辅助数据等数据的整合和规范建立林长制数据共享中心，为业务实现提供基础数据保证；</w:t>
      </w:r>
    </w:p>
    <w:p>
      <w:pPr>
        <w:numPr>
          <w:ilvl w:val="0"/>
          <w:numId w:val="0"/>
        </w:numPr>
        <w:ind w:firstLine="640" w:firstLineChars="200"/>
        <w:jc w:val="both"/>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支撑层支撑整体的系统运行，由GIS服务、消息通讯、数据访问、服务治理、服务质量、代理服务和缓存技术组成；</w:t>
      </w:r>
    </w:p>
    <w:p>
      <w:pPr>
        <w:numPr>
          <w:ilvl w:val="0"/>
          <w:numId w:val="0"/>
        </w:numPr>
        <w:ind w:firstLine="640" w:firstLineChars="200"/>
        <w:jc w:val="both"/>
        <w:rPr>
          <w:rFonts w:hint="eastAsia"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平台应用层体现了林长制信息管理系统的业务一体化，实现全方位森林资源监测、全域资源管护、林业执法、绩效考核、事件督办、资讯宣教等业务综合管理；</w:t>
      </w:r>
    </w:p>
    <w:p>
      <w:pPr>
        <w:numPr>
          <w:ilvl w:val="0"/>
          <w:numId w:val="0"/>
        </w:numPr>
        <w:ind w:firstLine="640" w:firstLineChars="200"/>
        <w:jc w:val="both"/>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展示层最终实现林长制App、林长制信息管理平台，支持各级林长的应用要求。</w:t>
      </w:r>
    </w:p>
    <w:p>
      <w:pPr>
        <w:numPr>
          <w:ilvl w:val="0"/>
          <w:numId w:val="0"/>
        </w:numPr>
        <w:ind w:left="580" w:leftChars="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（二）业务应用架构</w:t>
      </w:r>
    </w:p>
    <w:p>
      <w:pPr>
        <w:numPr>
          <w:ilvl w:val="0"/>
          <w:numId w:val="0"/>
        </w:numPr>
        <w:ind w:firstLine="640" w:firstLineChars="200"/>
        <w:jc w:val="both"/>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本平台充分考虑到林长制各个部门单位的业务需要，充分保证数据的共享和功能互操作。同时，平台还要具备良好的可维护性和扩展性。因此，平台采用统一的基础平台。包括操作系统平台、数据库平台、地理信息系统平台和应用平台。采用统一平台，可避免不必要的系统间数据的转换、功能的接口、以及系统升级扩展时大量的维护工作量,保证系统的一致性和稳定性。</w:t>
      </w:r>
    </w:p>
    <w:p>
      <w:pPr>
        <w:numPr>
          <w:ilvl w:val="0"/>
          <w:numId w:val="0"/>
        </w:numPr>
        <w:ind w:firstLine="640" w:firstLineChars="200"/>
        <w:jc w:val="both"/>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本平台充分考虑到林长制各个部门单位的业务需要，充分保证数据的共享和功能互操作。同时，平台还要具备良好的可维护性和扩展性。因此，平台采用统一的基础平台。包括操作系统平台、数据库平台、地理信息系统平台和应用平台。采用统一平台，可避免不必要的系统间数据的转换、功能的接口、以及系统升级扩展时大量的维护工作量,保证系统的一致性和稳定性。</w:t>
      </w:r>
    </w:p>
    <w:p>
      <w:pPr>
        <w:numPr>
          <w:ilvl w:val="0"/>
          <w:numId w:val="0"/>
        </w:numPr>
        <w:ind w:firstLine="420" w:firstLineChars="200"/>
        <w:jc w:val="both"/>
        <w:rPr>
          <w:rFonts w:hint="eastAsia" w:ascii="楷体" w:hAnsi="楷体" w:eastAsia="楷体" w:cs="楷体"/>
          <w:b/>
          <w:bCs/>
          <w:sz w:val="28"/>
          <w:szCs w:val="28"/>
          <w:lang w:val="en-US" w:eastAsia="zh-CN"/>
        </w:rPr>
      </w:pPr>
      <w:r>
        <w:object>
          <v:shape id="_x0000_i1026" o:spt="75" type="#_x0000_t75" style="height:241pt;width:415.35pt;" o:ole="t" filled="f" o:preferrelative="t" stroked="f" coordsize="21600,21600">
            <v:path/>
            <v:fill on="f" focussize="0,0"/>
            <v:stroke on="f" joinstyle="miter"/>
            <v:imagedata r:id="rId5" o:title=""/>
            <o:lock v:ext="edit" aspectratio="t"/>
            <w10:wrap type="none"/>
            <w10:anchorlock/>
          </v:shape>
          <o:OLEObject Type="Embed" ProgID="Visio.Drawing.15" ShapeID="_x0000_i1026" DrawAspect="Content" ObjectID="_1468075726">
            <o:LockedField>false</o:LockedField>
          </o:OLEObject>
        </w:object>
      </w:r>
      <w:r>
        <w:rPr>
          <w:rFonts w:hint="eastAsia"/>
          <w:lang w:val="en-US" w:eastAsia="zh-CN"/>
        </w:rPr>
        <w:t xml:space="preserve">                               </w:t>
      </w:r>
      <w:r>
        <w:rPr>
          <w:rFonts w:hint="eastAsia" w:ascii="楷体" w:hAnsi="楷体" w:eastAsia="楷体" w:cs="楷体"/>
          <w:b/>
          <w:bCs/>
          <w:sz w:val="28"/>
          <w:szCs w:val="28"/>
          <w:lang w:val="en-US" w:eastAsia="zh-CN"/>
        </w:rPr>
        <w:t>业务应用架构示意图</w:t>
      </w:r>
    </w:p>
    <w:p>
      <w:pPr>
        <w:numPr>
          <w:ilvl w:val="0"/>
          <w:numId w:val="2"/>
        </w:numPr>
        <w:ind w:left="0" w:leftChars="0" w:firstLine="640" w:firstLineChars="200"/>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建设内容</w:t>
      </w:r>
    </w:p>
    <w:p>
      <w:pPr>
        <w:numPr>
          <w:ilvl w:val="0"/>
          <w:numId w:val="0"/>
        </w:numPr>
        <w:ind w:firstLine="640" w:firstLineChars="200"/>
        <w:jc w:val="both"/>
        <w:rPr>
          <w:rFonts w:hint="eastAsia" w:ascii="仿宋" w:hAnsi="仿宋" w:eastAsia="仿宋" w:cs="仿宋"/>
          <w:sz w:val="32"/>
          <w:szCs w:val="32"/>
        </w:rPr>
      </w:pPr>
      <w:r>
        <w:rPr>
          <w:rFonts w:hint="eastAsia" w:ascii="仿宋" w:hAnsi="仿宋" w:eastAsia="仿宋" w:cs="仿宋"/>
          <w:sz w:val="32"/>
          <w:szCs w:val="32"/>
        </w:rPr>
        <w:t>主要建设内容包含南澳县林长制智慧平台（PC端）升级，完善林长一张图信息。建设林长制公示牌、智能球机监控、森林哨位等物联网前端设备，实现数据自动采集、传输，为业务实现提供基础数据保证。</w:t>
      </w:r>
    </w:p>
    <w:p>
      <w:pPr>
        <w:numPr>
          <w:ilvl w:val="0"/>
          <w:numId w:val="0"/>
        </w:numPr>
        <w:ind w:firstLine="640" w:firstLineChars="200"/>
        <w:jc w:val="both"/>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一</w:t>
      </w:r>
      <w:r>
        <w:rPr>
          <w:rFonts w:hint="eastAsia" w:ascii="仿宋" w:hAnsi="仿宋" w:eastAsia="仿宋" w:cs="仿宋"/>
          <w:sz w:val="32"/>
          <w:szCs w:val="32"/>
          <w:lang w:eastAsia="zh-CN"/>
        </w:rPr>
        <w:t>）</w:t>
      </w:r>
      <w:bookmarkStart w:id="0" w:name="_Toc97739849"/>
      <w:r>
        <w:rPr>
          <w:rFonts w:hint="eastAsia" w:ascii="仿宋" w:hAnsi="仿宋" w:eastAsia="仿宋" w:cs="仿宋"/>
          <w:sz w:val="32"/>
          <w:szCs w:val="32"/>
        </w:rPr>
        <w:t>南澳林长综合管理平台完善</w:t>
      </w:r>
      <w:bookmarkEnd w:id="0"/>
      <w:r>
        <w:rPr>
          <w:rFonts w:hint="eastAsia" w:ascii="仿宋" w:hAnsi="仿宋" w:eastAsia="仿宋" w:cs="仿宋"/>
          <w:sz w:val="32"/>
          <w:szCs w:val="32"/>
          <w:lang w:eastAsia="zh-CN"/>
        </w:rPr>
        <w:t>。</w:t>
      </w:r>
      <w:r>
        <w:rPr>
          <w:rFonts w:hint="eastAsia" w:ascii="仿宋" w:hAnsi="仿宋" w:eastAsia="仿宋" w:cs="仿宋"/>
          <w:sz w:val="32"/>
          <w:szCs w:val="32"/>
        </w:rPr>
        <w:t>完善林长一张图信息平台。直观展示林区的基础地理信息、责任区、成员单位、人员信息、森林资源数据以及事件、巡护概览、动态信息等业务系统数据等，管理人员可通过“一张图”清晰了解全县林长区域整体的资源分布情况。</w:t>
      </w:r>
    </w:p>
    <w:p>
      <w:pPr>
        <w:numPr>
          <w:ilvl w:val="0"/>
          <w:numId w:val="0"/>
        </w:numPr>
        <w:ind w:firstLine="640" w:firstLineChars="200"/>
        <w:jc w:val="both"/>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二</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数据处理服务。</w:t>
      </w:r>
      <w:r>
        <w:rPr>
          <w:rFonts w:hint="eastAsia" w:ascii="仿宋" w:hAnsi="仿宋" w:eastAsia="仿宋" w:cs="仿宋"/>
          <w:sz w:val="32"/>
          <w:szCs w:val="32"/>
        </w:rPr>
        <w:t>在一期已建的一张图信息平台的基础上，进一步完善南澳县林业专题图层，包括对全县森林资源数据（森林资源年度更新、森林资源二类调查、公益林天然林数据），森林督查、林木采伐、森林抚育、林地征占用数据，自然保护地、湿地、野生动植物、草地资源数据，灾害防治小班数据（火烧迹地、有害生物发生区域）等森林资源变化图斑数据及林业产业企业数据收集、处理和入库，形成南澳县森林资源专题图层库。</w:t>
      </w:r>
    </w:p>
    <w:p>
      <w:pPr>
        <w:ind w:firstLine="48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（三）硬件设备采购</w:t>
      </w:r>
    </w:p>
    <w:p>
      <w:pPr>
        <w:numPr>
          <w:ilvl w:val="0"/>
          <w:numId w:val="0"/>
        </w:numPr>
        <w:ind w:firstLine="640" w:firstLineChars="200"/>
        <w:jc w:val="both"/>
        <w:rPr>
          <w:rFonts w:hint="eastAsia" w:ascii="仿宋" w:hAnsi="仿宋" w:eastAsia="仿宋" w:cs="仿宋"/>
          <w:sz w:val="32"/>
          <w:szCs w:val="32"/>
        </w:rPr>
      </w:pPr>
      <w:r>
        <w:rPr>
          <w:rFonts w:hint="eastAsia" w:ascii="仿宋" w:hAnsi="仿宋" w:eastAsia="仿宋" w:cs="仿宋"/>
          <w:sz w:val="32"/>
          <w:szCs w:val="32"/>
          <w:lang w:val="en-US" w:eastAsia="zh-CN"/>
        </w:rPr>
        <w:t>1、</w:t>
      </w:r>
      <w:bookmarkStart w:id="1" w:name="_Toc99454930"/>
      <w:r>
        <w:rPr>
          <w:rFonts w:hint="eastAsia" w:ascii="仿宋" w:hAnsi="仿宋" w:eastAsia="仿宋" w:cs="仿宋"/>
          <w:sz w:val="32"/>
          <w:szCs w:val="32"/>
        </w:rPr>
        <w:t>林长制公示牌</w:t>
      </w:r>
      <w:bookmarkEnd w:id="1"/>
      <w:r>
        <w:rPr>
          <w:rFonts w:hint="eastAsia" w:ascii="仿宋" w:hAnsi="仿宋" w:eastAsia="仿宋" w:cs="仿宋"/>
          <w:sz w:val="32"/>
          <w:szCs w:val="32"/>
          <w:lang w:eastAsia="zh-CN"/>
        </w:rPr>
        <w:t>。</w:t>
      </w:r>
      <w:r>
        <w:rPr>
          <w:rFonts w:hint="eastAsia" w:ascii="仿宋" w:hAnsi="仿宋" w:eastAsia="仿宋" w:cs="仿宋"/>
          <w:sz w:val="32"/>
          <w:szCs w:val="32"/>
        </w:rPr>
        <w:t>南澳县林区入口放置林长制信息公示牌。信息公示牌具备结构扎实，外型美观，取放方便、挡雨等特点。</w:t>
      </w:r>
    </w:p>
    <w:p>
      <w:pPr>
        <w:numPr>
          <w:ilvl w:val="0"/>
          <w:numId w:val="0"/>
        </w:numPr>
        <w:ind w:firstLine="640" w:firstLineChars="200"/>
        <w:jc w:val="left"/>
      </w:pPr>
      <w:r>
        <w:rPr>
          <w:rFonts w:hint="eastAsia" w:ascii="仿宋" w:hAnsi="仿宋" w:eastAsia="仿宋" w:cs="仿宋"/>
          <w:sz w:val="32"/>
          <w:szCs w:val="32"/>
        </w:rPr>
        <w:t>林长制公示牌效果图如下：</w:t>
      </w:r>
      <w:r>
        <w:rPr>
          <w:rFonts w:ascii="宋体" w:hAnsi="宋体" w:cs="宋体"/>
          <w:bCs/>
        </w:rPr>
        <w:drawing>
          <wp:inline distT="0" distB="0" distL="0" distR="0">
            <wp:extent cx="5342255" cy="4984750"/>
            <wp:effectExtent l="0" t="0" r="1079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47763" cy="4990249"/>
                    </a:xfrm>
                    <a:prstGeom prst="rect">
                      <a:avLst/>
                    </a:prstGeom>
                    <a:noFill/>
                    <a:ln>
                      <a:noFill/>
                    </a:ln>
                  </pic:spPr>
                </pic:pic>
              </a:graphicData>
            </a:graphic>
          </wp:inline>
        </w:drawing>
      </w:r>
    </w:p>
    <w:p>
      <w:pPr>
        <w:numPr>
          <w:ilvl w:val="0"/>
          <w:numId w:val="4"/>
        </w:numPr>
        <w:ind w:firstLine="480"/>
        <w:rPr>
          <w:rFonts w:hint="eastAsia" w:ascii="仿宋" w:hAnsi="仿宋" w:eastAsia="仿宋" w:cs="仿宋"/>
          <w:sz w:val="32"/>
          <w:szCs w:val="32"/>
        </w:rPr>
      </w:pPr>
      <w:bookmarkStart w:id="2" w:name="_Toc97739853"/>
      <w:r>
        <w:rPr>
          <w:rFonts w:hint="eastAsia" w:ascii="仿宋" w:hAnsi="仿宋" w:eastAsia="仿宋" w:cs="仿宋"/>
          <w:b w:val="0"/>
          <w:bCs w:val="0"/>
          <w:sz w:val="32"/>
          <w:szCs w:val="32"/>
        </w:rPr>
        <w:t>智能球机监控系统</w:t>
      </w:r>
      <w:bookmarkEnd w:id="2"/>
      <w:r>
        <w:rPr>
          <w:rFonts w:hint="eastAsia" w:ascii="仿宋" w:hAnsi="仿宋" w:eastAsia="仿宋" w:cs="仿宋"/>
          <w:b w:val="0"/>
          <w:bCs w:val="0"/>
          <w:sz w:val="32"/>
          <w:szCs w:val="32"/>
          <w:lang w:eastAsia="zh-CN"/>
        </w:rPr>
        <w:t>。</w:t>
      </w:r>
      <w:r>
        <w:rPr>
          <w:rFonts w:hint="eastAsia" w:ascii="仿宋" w:hAnsi="仿宋" w:eastAsia="仿宋" w:cs="仿宋"/>
          <w:sz w:val="32"/>
          <w:szCs w:val="32"/>
        </w:rPr>
        <w:t>在林区制高点安装3套智能360度旋转的球机系统，其包含了高清摄像机球机、设备箱、太阳能电源、防雷接地等模块，对林区全方位进行监控。把森林防火各项措施抓早、抓细、抓实，有效地避免森林火灾的发生。</w:t>
      </w: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b w:val="0"/>
          <w:bCs w:val="0"/>
          <w:sz w:val="32"/>
          <w:szCs w:val="32"/>
        </w:rPr>
        <w:t>智能球机</w:t>
      </w:r>
      <w:r>
        <w:rPr>
          <w:rFonts w:hint="eastAsia" w:ascii="仿宋" w:hAnsi="仿宋" w:eastAsia="仿宋" w:cs="仿宋"/>
          <w:sz w:val="32"/>
          <w:szCs w:val="32"/>
          <w:lang w:val="en-US" w:eastAsia="zh-CN"/>
        </w:rPr>
        <w:t>监控系统功能建设包括：</w:t>
      </w:r>
    </w:p>
    <w:p>
      <w:pPr>
        <w:ind w:firstLine="480"/>
        <w:rPr>
          <w:rFonts w:hint="eastAsia" w:ascii="仿宋" w:hAnsi="仿宋" w:eastAsia="仿宋" w:cs="仿宋"/>
          <w:sz w:val="32"/>
          <w:szCs w:val="32"/>
        </w:rPr>
      </w:pPr>
      <w:r>
        <w:rPr>
          <w:rFonts w:hint="eastAsia" w:ascii="仿宋" w:hAnsi="仿宋" w:eastAsia="仿宋" w:cs="仿宋"/>
          <w:sz w:val="32"/>
          <w:szCs w:val="32"/>
          <w:lang w:val="en-US" w:eastAsia="zh-CN"/>
        </w:rPr>
        <w:t>①</w:t>
      </w:r>
      <w:r>
        <w:rPr>
          <w:rFonts w:hint="eastAsia" w:ascii="仿宋" w:hAnsi="仿宋" w:eastAsia="仿宋" w:cs="仿宋"/>
          <w:sz w:val="32"/>
          <w:szCs w:val="32"/>
        </w:rPr>
        <w:t>视频监控</w:t>
      </w:r>
      <w:r>
        <w:rPr>
          <w:rFonts w:hint="eastAsia" w:ascii="仿宋" w:hAnsi="仿宋" w:eastAsia="仿宋" w:cs="仿宋"/>
          <w:sz w:val="32"/>
          <w:szCs w:val="32"/>
          <w:lang w:eastAsia="zh-CN"/>
        </w:rPr>
        <w:t>：</w:t>
      </w:r>
      <w:r>
        <w:rPr>
          <w:rFonts w:hint="eastAsia" w:ascii="仿宋" w:hAnsi="仿宋" w:eastAsia="仿宋" w:cs="仿宋"/>
          <w:sz w:val="32"/>
          <w:szCs w:val="32"/>
        </w:rPr>
        <w:t>支持现场视频实时监控功能，视频录像，自动保存在前端系统中；通过可见光监测方式对覆盖林区进行360度监测，值班人员在监测中心可以实时对林区情况进行监测。</w:t>
      </w:r>
    </w:p>
    <w:p>
      <w:pPr>
        <w:ind w:firstLine="480"/>
        <w:rPr>
          <w:rFonts w:hint="eastAsia" w:ascii="仿宋" w:hAnsi="仿宋" w:eastAsia="仿宋" w:cs="仿宋"/>
          <w:sz w:val="32"/>
          <w:szCs w:val="32"/>
        </w:rPr>
      </w:pPr>
      <w:r>
        <w:rPr>
          <w:rFonts w:hint="eastAsia" w:ascii="仿宋" w:hAnsi="仿宋" w:eastAsia="仿宋" w:cs="仿宋"/>
          <w:sz w:val="32"/>
          <w:szCs w:val="32"/>
          <w:lang w:val="en-US" w:eastAsia="zh-CN"/>
        </w:rPr>
        <w:t>②</w:t>
      </w:r>
      <w:r>
        <w:rPr>
          <w:rFonts w:hint="eastAsia" w:ascii="仿宋" w:hAnsi="仿宋" w:eastAsia="仿宋" w:cs="仿宋"/>
          <w:sz w:val="32"/>
          <w:szCs w:val="32"/>
        </w:rPr>
        <w:t>移动终端应用：现场设备运行状态监测；视频图像实时监看与回放；</w:t>
      </w:r>
    </w:p>
    <w:p>
      <w:pPr>
        <w:ind w:firstLine="480"/>
        <w:rPr>
          <w:rFonts w:hint="eastAsia" w:ascii="仿宋" w:hAnsi="仿宋" w:eastAsia="仿宋" w:cs="仿宋"/>
          <w:sz w:val="32"/>
          <w:szCs w:val="32"/>
        </w:rPr>
      </w:pPr>
      <w:r>
        <w:rPr>
          <w:rFonts w:hint="eastAsia" w:ascii="仿宋" w:hAnsi="仿宋" w:eastAsia="仿宋" w:cs="仿宋"/>
          <w:sz w:val="32"/>
          <w:szCs w:val="32"/>
          <w:lang w:val="en-US" w:eastAsia="zh-CN"/>
        </w:rPr>
        <w:t>③</w:t>
      </w:r>
      <w:r>
        <w:rPr>
          <w:rFonts w:hint="eastAsia" w:ascii="仿宋" w:hAnsi="仿宋" w:eastAsia="仿宋" w:cs="仿宋"/>
          <w:sz w:val="32"/>
          <w:szCs w:val="32"/>
        </w:rPr>
        <w:t>远程BS客户端管理功能</w:t>
      </w:r>
      <w:r>
        <w:rPr>
          <w:rFonts w:hint="eastAsia" w:ascii="仿宋" w:hAnsi="仿宋" w:eastAsia="仿宋" w:cs="仿宋"/>
          <w:sz w:val="32"/>
          <w:szCs w:val="32"/>
          <w:lang w:eastAsia="zh-CN"/>
        </w:rPr>
        <w:t>：</w:t>
      </w:r>
      <w:r>
        <w:rPr>
          <w:rFonts w:hint="eastAsia" w:ascii="仿宋" w:hAnsi="仿宋" w:eastAsia="仿宋" w:cs="仿宋"/>
          <w:sz w:val="32"/>
          <w:szCs w:val="32"/>
        </w:rPr>
        <w:t>设备状态显示、设备位置管理、远程参数显示（设备工作电压、显示环境参数）、报警信息收到、报警视频图片接收。</w:t>
      </w:r>
    </w:p>
    <w:p>
      <w:pPr>
        <w:ind w:firstLine="480"/>
        <w:rPr>
          <w:rFonts w:hint="eastAsia" w:ascii="仿宋" w:hAnsi="仿宋" w:eastAsia="仿宋" w:cs="仿宋"/>
          <w:sz w:val="32"/>
          <w:szCs w:val="32"/>
        </w:rPr>
      </w:pPr>
      <w:r>
        <w:rPr>
          <w:rFonts w:hint="eastAsia" w:ascii="仿宋" w:hAnsi="仿宋" w:eastAsia="仿宋" w:cs="仿宋"/>
          <w:sz w:val="32"/>
          <w:szCs w:val="32"/>
          <w:lang w:val="en-US" w:eastAsia="zh-CN"/>
        </w:rPr>
        <w:t>④</w:t>
      </w:r>
      <w:r>
        <w:rPr>
          <w:rFonts w:hint="eastAsia" w:ascii="仿宋" w:hAnsi="仿宋" w:eastAsia="仿宋" w:cs="仿宋"/>
          <w:sz w:val="32"/>
          <w:szCs w:val="32"/>
        </w:rPr>
        <w:t>本地电脑配置功能</w:t>
      </w:r>
      <w:r>
        <w:rPr>
          <w:rFonts w:hint="eastAsia" w:ascii="仿宋" w:hAnsi="仿宋" w:eastAsia="仿宋" w:cs="仿宋"/>
          <w:sz w:val="32"/>
          <w:szCs w:val="32"/>
          <w:lang w:eastAsia="zh-CN"/>
        </w:rPr>
        <w:t>：</w:t>
      </w:r>
      <w:r>
        <w:rPr>
          <w:rFonts w:hint="eastAsia" w:ascii="仿宋" w:hAnsi="仿宋" w:eastAsia="仿宋" w:cs="仿宋"/>
          <w:sz w:val="32"/>
          <w:szCs w:val="32"/>
        </w:rPr>
        <w:t>可配置：警示语音内容、警示语音音量、警示文字内容、设备端口参数。</w:t>
      </w:r>
    </w:p>
    <w:p>
      <w:pPr>
        <w:ind w:firstLine="480"/>
        <w:rPr>
          <w:rFonts w:hint="eastAsia" w:ascii="仿宋" w:hAnsi="仿宋" w:eastAsia="仿宋" w:cs="仿宋"/>
          <w:sz w:val="32"/>
          <w:szCs w:val="32"/>
        </w:rPr>
      </w:pPr>
      <w:r>
        <w:rPr>
          <w:rFonts w:hint="eastAsia" w:ascii="仿宋" w:hAnsi="仿宋" w:eastAsia="仿宋" w:cs="仿宋"/>
          <w:sz w:val="32"/>
          <w:szCs w:val="32"/>
        </w:rPr>
        <w:t>智能球机</w:t>
      </w:r>
      <w:r>
        <w:rPr>
          <w:rFonts w:hint="eastAsia" w:ascii="仿宋" w:hAnsi="仿宋" w:eastAsia="仿宋" w:cs="仿宋"/>
          <w:sz w:val="32"/>
          <w:szCs w:val="32"/>
          <w:lang w:val="en-US" w:eastAsia="zh-CN"/>
        </w:rPr>
        <w:t>监控系统传输网络建设包括：</w:t>
      </w:r>
      <w:r>
        <w:rPr>
          <w:rFonts w:hint="eastAsia" w:ascii="仿宋" w:hAnsi="仿宋" w:eastAsia="仿宋" w:cs="仿宋"/>
          <w:sz w:val="32"/>
          <w:szCs w:val="32"/>
        </w:rPr>
        <w:t>系统通过前端传感器将实时监测环境数据，通过有线传输网络回传至监测平台，前端可登陆平台，回放录像、下载视频等。</w:t>
      </w:r>
    </w:p>
    <w:p>
      <w:pPr>
        <w:ind w:firstLine="480"/>
        <w:rPr>
          <w:rFonts w:hint="eastAsia" w:ascii="仿宋" w:hAnsi="仿宋" w:eastAsia="仿宋" w:cs="仿宋"/>
          <w:sz w:val="32"/>
          <w:szCs w:val="32"/>
        </w:rPr>
      </w:pPr>
      <w:r>
        <w:rPr>
          <w:rFonts w:hint="eastAsia" w:ascii="仿宋" w:hAnsi="仿宋" w:eastAsia="仿宋" w:cs="仿宋"/>
          <w:sz w:val="32"/>
          <w:szCs w:val="32"/>
        </w:rPr>
        <w:t>智能球机</w:t>
      </w:r>
      <w:r>
        <w:rPr>
          <w:rFonts w:hint="eastAsia" w:ascii="仿宋" w:hAnsi="仿宋" w:eastAsia="仿宋" w:cs="仿宋"/>
          <w:sz w:val="32"/>
          <w:szCs w:val="32"/>
          <w:lang w:val="en-US" w:eastAsia="zh-CN"/>
        </w:rPr>
        <w:t>监控系统供电建设包括：</w:t>
      </w:r>
      <w:r>
        <w:rPr>
          <w:rFonts w:hint="eastAsia" w:ascii="仿宋" w:hAnsi="仿宋" w:eastAsia="仿宋" w:cs="仿宋"/>
          <w:sz w:val="32"/>
          <w:szCs w:val="32"/>
        </w:rPr>
        <w:t>采用太阳能供电，太阳能控制基于串联型脉宽调制（PWM）充电方式，采用全数字化技术建设，全自动运行模式，具有蓄电池温度补偿功能；太阳能电源管理具多重的电子保护功能，如光伏阵列过流、光伏阵列短路、光伏阵列极性反接、蓄电池极性反接、负载过载、蓄电池超温、负载短路、TVS 高压浪涌、控制器超温等保护功能；系统默认支持阴雨天气待机不低于五天。</w:t>
      </w:r>
    </w:p>
    <w:p>
      <w:pPr>
        <w:rPr>
          <w:rStyle w:val="7"/>
          <w:rFonts w:hint="eastAsia" w:eastAsiaTheme="minorEastAsia"/>
          <w:b w:val="0"/>
          <w:bCs w:val="0"/>
          <w:lang w:val="en-US" w:eastAsia="zh-CN"/>
        </w:rPr>
      </w:pPr>
    </w:p>
    <w:p>
      <w:pPr>
        <w:ind w:firstLine="0" w:firstLineChars="0"/>
        <w:jc w:val="center"/>
      </w:pPr>
      <w:r>
        <w:t xml:space="preserve"> </w:t>
      </w:r>
      <w:r>
        <w:drawing>
          <wp:inline distT="0" distB="0" distL="0" distR="0">
            <wp:extent cx="2691130" cy="1506220"/>
            <wp:effectExtent l="0" t="0" r="13970" b="177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715142" cy="1519613"/>
                    </a:xfrm>
                    <a:prstGeom prst="rect">
                      <a:avLst/>
                    </a:prstGeom>
                    <a:noFill/>
                    <a:ln>
                      <a:noFill/>
                    </a:ln>
                    <a:effectLst/>
                  </pic:spPr>
                </pic:pic>
              </a:graphicData>
            </a:graphic>
          </wp:inline>
        </w:drawing>
      </w:r>
      <w:r>
        <w:drawing>
          <wp:inline distT="0" distB="0" distL="0" distR="0">
            <wp:extent cx="2378710" cy="1508125"/>
            <wp:effectExtent l="0" t="0" r="2540" b="158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399519" cy="1521461"/>
                    </a:xfrm>
                    <a:prstGeom prst="rect">
                      <a:avLst/>
                    </a:prstGeom>
                    <a:noFill/>
                    <a:ln>
                      <a:noFill/>
                    </a:ln>
                    <a:effectLst/>
                  </pic:spPr>
                </pic:pic>
              </a:graphicData>
            </a:graphic>
          </wp:inline>
        </w:drawing>
      </w:r>
    </w:p>
    <w:p>
      <w:pPr>
        <w:pStyle w:val="3"/>
        <w:jc w:val="center"/>
        <w:rPr>
          <w:rFonts w:hint="default" w:ascii="仿宋" w:hAnsi="仿宋" w:eastAsia="仿宋" w:cs="仿宋"/>
          <w:sz w:val="32"/>
          <w:szCs w:val="32"/>
          <w:lang w:val="en-US" w:eastAsia="zh-CN"/>
        </w:rPr>
      </w:pPr>
      <w:r>
        <w:rPr>
          <w:rFonts w:hint="eastAsia" w:ascii="楷体" w:hAnsi="楷体" w:eastAsia="楷体" w:cs="楷体"/>
          <w:b/>
          <w:bCs/>
          <w:sz w:val="24"/>
          <w:szCs w:val="24"/>
        </w:rPr>
        <w:t>火情监控示意图</w:t>
      </w:r>
    </w:p>
    <w:p>
      <w:pPr>
        <w:numPr>
          <w:ilvl w:val="0"/>
          <w:numId w:val="0"/>
        </w:numPr>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3、森林哨位。</w:t>
      </w:r>
      <w:r>
        <w:rPr>
          <w:rFonts w:hint="eastAsia" w:ascii="仿宋" w:hAnsi="仿宋" w:eastAsia="仿宋" w:cs="仿宋"/>
          <w:sz w:val="32"/>
          <w:szCs w:val="32"/>
        </w:rPr>
        <w:t>采用红外（雷达）人体传感器对进入林区或景区的人员与车辆进行检测，检测距离 15米内。对进入林区入口时，系统自动播放语音警示如：“您已进入林区、请注意森林防火”等</w:t>
      </w:r>
      <w:r>
        <w:rPr>
          <w:rFonts w:hint="eastAsia" w:ascii="仿宋" w:hAnsi="仿宋" w:eastAsia="仿宋" w:cs="仿宋"/>
          <w:sz w:val="32"/>
          <w:szCs w:val="32"/>
          <w:lang w:eastAsia="zh-CN"/>
        </w:rPr>
        <w:t>；</w:t>
      </w:r>
      <w:r>
        <w:rPr>
          <w:rFonts w:hint="eastAsia" w:ascii="仿宋" w:hAnsi="仿宋" w:eastAsia="仿宋" w:cs="仿宋"/>
          <w:sz w:val="32"/>
          <w:szCs w:val="32"/>
        </w:rPr>
        <w:t>对进入林区入口时，系统自动播放语音警示如：“您已进入林区、请注意森林防火”等</w:t>
      </w:r>
      <w:r>
        <w:rPr>
          <w:rFonts w:hint="eastAsia" w:ascii="仿宋" w:hAnsi="仿宋" w:eastAsia="仿宋" w:cs="仿宋"/>
          <w:sz w:val="32"/>
          <w:szCs w:val="32"/>
          <w:lang w:eastAsia="zh-CN"/>
        </w:rPr>
        <w:t>；</w:t>
      </w:r>
      <w:r>
        <w:rPr>
          <w:rFonts w:hint="eastAsia" w:ascii="仿宋" w:hAnsi="仿宋" w:eastAsia="仿宋" w:cs="仿宋"/>
          <w:sz w:val="32"/>
          <w:szCs w:val="32"/>
        </w:rPr>
        <w:t>对系统警示后，系统会自动发送一条信息到管理中心系统</w:t>
      </w:r>
      <w:r>
        <w:rPr>
          <w:rFonts w:hint="eastAsia" w:ascii="仿宋" w:hAnsi="仿宋" w:eastAsia="仿宋" w:cs="仿宋"/>
          <w:sz w:val="32"/>
          <w:szCs w:val="32"/>
          <w:lang w:eastAsia="zh-CN"/>
        </w:rPr>
        <w:t>；</w:t>
      </w:r>
      <w:r>
        <w:rPr>
          <w:rFonts w:hint="eastAsia" w:ascii="仿宋" w:hAnsi="仿宋" w:eastAsia="仿宋" w:cs="仿宋"/>
          <w:sz w:val="32"/>
          <w:szCs w:val="32"/>
        </w:rPr>
        <w:t>对通过林区景区出入口的人员、车辆进行识别采集和处理，可实现人流与车辆号牌识别、人流、车流统计管理功能。</w:t>
      </w:r>
    </w:p>
    <w:p>
      <w:pPr>
        <w:ind w:firstLine="480"/>
        <w:rPr>
          <w:rFonts w:hint="eastAsia" w:ascii="仿宋" w:hAnsi="仿宋" w:eastAsia="仿宋" w:cs="仿宋"/>
          <w:bCs/>
          <w:sz w:val="32"/>
          <w:szCs w:val="32"/>
          <w:lang w:eastAsia="zh-CN"/>
        </w:rPr>
      </w:pPr>
      <w:r>
        <w:rPr>
          <w:rFonts w:hint="eastAsia" w:ascii="仿宋" w:hAnsi="仿宋" w:eastAsia="仿宋" w:cs="仿宋"/>
          <w:bCs/>
          <w:sz w:val="32"/>
          <w:szCs w:val="32"/>
          <w:lang w:val="en-US" w:eastAsia="zh-CN"/>
        </w:rPr>
        <w:t>4、红外相机。</w:t>
      </w:r>
      <w:r>
        <w:rPr>
          <w:rFonts w:hint="eastAsia" w:ascii="仿宋" w:hAnsi="仿宋" w:eastAsia="仿宋" w:cs="仿宋"/>
          <w:bCs/>
          <w:sz w:val="32"/>
          <w:szCs w:val="32"/>
        </w:rPr>
        <w:t>通过红外相机监测实现南澳县野生动物监控，以图文形式展示区域内野生动物的资料信息，包括图像、栖息地、属性等将已有的野生动物信息进行信息化登记，栖息地进行矢量化，登记位置信息，并通过可视化的方式展示录像、图片等。红外相机目前分为含4G/5G传输与不含通讯两种，根据布设的实际地点网络情况决定设备类型</w:t>
      </w:r>
      <w:r>
        <w:rPr>
          <w:rFonts w:hint="eastAsia" w:ascii="仿宋" w:hAnsi="仿宋" w:eastAsia="仿宋" w:cs="仿宋"/>
          <w:bCs/>
          <w:sz w:val="32"/>
          <w:szCs w:val="32"/>
          <w:lang w:eastAsia="zh-CN"/>
        </w:rPr>
        <w:t>。</w:t>
      </w:r>
    </w:p>
    <w:p>
      <w:pPr>
        <w:ind w:firstLine="480"/>
      </w:pPr>
      <w:r>
        <w:rPr>
          <w:rFonts w:hint="eastAsia"/>
          <w:lang w:val="en-US" w:eastAsia="zh-CN"/>
        </w:rPr>
        <w:t xml:space="preserve">        </w:t>
      </w:r>
      <w:r>
        <w:drawing>
          <wp:inline distT="0" distB="0" distL="0" distR="0">
            <wp:extent cx="934085" cy="2369820"/>
            <wp:effectExtent l="0" t="0" r="1841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937181" cy="2378100"/>
                    </a:xfrm>
                    <a:prstGeom prst="rect">
                      <a:avLst/>
                    </a:prstGeom>
                    <a:noFill/>
                    <a:ln>
                      <a:noFill/>
                    </a:ln>
                  </pic:spPr>
                </pic:pic>
              </a:graphicData>
            </a:graphic>
          </wp:inline>
        </w:drawing>
      </w:r>
      <w:r>
        <w:drawing>
          <wp:inline distT="0" distB="0" distL="0" distR="0">
            <wp:extent cx="3161030" cy="2288540"/>
            <wp:effectExtent l="0" t="0" r="1270" b="165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161030" cy="2288540"/>
                    </a:xfrm>
                    <a:prstGeom prst="rect">
                      <a:avLst/>
                    </a:prstGeom>
                    <a:noFill/>
                    <a:ln>
                      <a:noFill/>
                    </a:ln>
                  </pic:spPr>
                </pic:pic>
              </a:graphicData>
            </a:graphic>
          </wp:inline>
        </w:drawing>
      </w:r>
    </w:p>
    <w:p>
      <w:pPr>
        <w:ind w:firstLine="3092" w:firstLineChars="1100"/>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红外相机示意图</w:t>
      </w:r>
    </w:p>
    <w:p>
      <w:pPr>
        <w:ind w:firstLine="480"/>
        <w:rPr>
          <w:rFonts w:hint="eastAsia" w:ascii="仿宋" w:hAnsi="仿宋" w:eastAsia="仿宋" w:cs="仿宋"/>
          <w:bCs/>
          <w:sz w:val="32"/>
          <w:szCs w:val="32"/>
        </w:rPr>
      </w:pPr>
    </w:p>
    <w:p>
      <w:pPr>
        <w:numPr>
          <w:ilvl w:val="0"/>
          <w:numId w:val="2"/>
        </w:numPr>
        <w:ind w:left="0" w:leftChars="0" w:firstLine="640" w:firstLineChars="200"/>
        <w:rPr>
          <w:rFonts w:hint="eastAsia" w:ascii="黑体" w:hAnsi="黑体" w:eastAsia="黑体" w:cs="黑体"/>
          <w:bCs/>
          <w:sz w:val="32"/>
          <w:szCs w:val="32"/>
          <w:lang w:val="en-US" w:eastAsia="zh-CN"/>
        </w:rPr>
      </w:pPr>
      <w:r>
        <w:rPr>
          <w:rFonts w:hint="eastAsia" w:ascii="黑体" w:hAnsi="黑体" w:eastAsia="黑体" w:cs="黑体"/>
          <w:bCs/>
          <w:sz w:val="32"/>
          <w:szCs w:val="32"/>
          <w:lang w:val="en-US" w:eastAsia="zh-CN"/>
        </w:rPr>
        <w:t>项目概算</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966"/>
        <w:gridCol w:w="3642"/>
        <w:gridCol w:w="438"/>
        <w:gridCol w:w="438"/>
        <w:gridCol w:w="1179"/>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359" w:type="pct"/>
            <w:shd w:val="clear" w:color="auto" w:fill="auto"/>
            <w:vAlign w:val="center"/>
          </w:tcPr>
          <w:p>
            <w:pPr>
              <w:spacing w:line="240" w:lineRule="auto"/>
              <w:ind w:firstLine="0" w:firstLineChars="0"/>
              <w:jc w:val="center"/>
              <w:rPr>
                <w:sz w:val="21"/>
                <w:szCs w:val="21"/>
              </w:rPr>
            </w:pPr>
            <w:r>
              <w:rPr>
                <w:rFonts w:hint="eastAsia" w:cs="宋体"/>
                <w:b/>
                <w:bCs/>
                <w:sz w:val="21"/>
                <w:szCs w:val="21"/>
              </w:rPr>
              <w:t>序号</w:t>
            </w:r>
          </w:p>
        </w:tc>
        <w:tc>
          <w:tcPr>
            <w:tcW w:w="567" w:type="pct"/>
            <w:shd w:val="clear" w:color="auto" w:fill="auto"/>
            <w:vAlign w:val="center"/>
          </w:tcPr>
          <w:p>
            <w:pPr>
              <w:spacing w:line="240" w:lineRule="auto"/>
              <w:ind w:firstLine="0" w:firstLineChars="0"/>
              <w:jc w:val="center"/>
              <w:rPr>
                <w:sz w:val="21"/>
                <w:szCs w:val="21"/>
              </w:rPr>
            </w:pPr>
            <w:r>
              <w:rPr>
                <w:rFonts w:hint="eastAsia" w:cs="宋体"/>
                <w:b/>
                <w:bCs/>
                <w:sz w:val="21"/>
                <w:szCs w:val="21"/>
              </w:rPr>
              <w:t>分项名称</w:t>
            </w:r>
          </w:p>
        </w:tc>
        <w:tc>
          <w:tcPr>
            <w:tcW w:w="2137" w:type="pct"/>
            <w:shd w:val="clear" w:color="auto" w:fill="auto"/>
            <w:vAlign w:val="center"/>
          </w:tcPr>
          <w:p>
            <w:pPr>
              <w:spacing w:line="240" w:lineRule="auto"/>
              <w:ind w:firstLine="0" w:firstLineChars="0"/>
              <w:jc w:val="center"/>
              <w:rPr>
                <w:sz w:val="21"/>
                <w:szCs w:val="21"/>
              </w:rPr>
            </w:pPr>
            <w:r>
              <w:rPr>
                <w:rFonts w:hint="eastAsia" w:cs="宋体"/>
                <w:b/>
                <w:bCs/>
                <w:sz w:val="21"/>
                <w:szCs w:val="21"/>
              </w:rPr>
              <w:t>技术要求</w:t>
            </w:r>
          </w:p>
        </w:tc>
        <w:tc>
          <w:tcPr>
            <w:tcW w:w="257" w:type="pct"/>
            <w:shd w:val="clear" w:color="auto" w:fill="auto"/>
            <w:vAlign w:val="center"/>
          </w:tcPr>
          <w:p>
            <w:pPr>
              <w:spacing w:line="240" w:lineRule="auto"/>
              <w:ind w:firstLine="0" w:firstLineChars="0"/>
              <w:jc w:val="center"/>
              <w:rPr>
                <w:sz w:val="21"/>
                <w:szCs w:val="21"/>
              </w:rPr>
            </w:pPr>
            <w:r>
              <w:rPr>
                <w:rFonts w:hint="eastAsia" w:cs="宋体"/>
                <w:b/>
                <w:bCs/>
                <w:sz w:val="21"/>
                <w:szCs w:val="21"/>
              </w:rPr>
              <w:t>单位</w:t>
            </w:r>
          </w:p>
        </w:tc>
        <w:tc>
          <w:tcPr>
            <w:tcW w:w="257" w:type="pct"/>
            <w:shd w:val="clear" w:color="auto" w:fill="auto"/>
            <w:vAlign w:val="center"/>
          </w:tcPr>
          <w:p>
            <w:pPr>
              <w:spacing w:line="240" w:lineRule="auto"/>
              <w:ind w:firstLine="0" w:firstLineChars="0"/>
              <w:jc w:val="center"/>
              <w:rPr>
                <w:sz w:val="21"/>
                <w:szCs w:val="21"/>
              </w:rPr>
            </w:pPr>
            <w:r>
              <w:rPr>
                <w:rFonts w:hint="eastAsia" w:cs="宋体"/>
                <w:b/>
                <w:bCs/>
                <w:sz w:val="21"/>
                <w:szCs w:val="21"/>
              </w:rPr>
              <w:t>数量</w:t>
            </w:r>
          </w:p>
        </w:tc>
        <w:tc>
          <w:tcPr>
            <w:tcW w:w="692" w:type="pct"/>
            <w:vAlign w:val="center"/>
          </w:tcPr>
          <w:p>
            <w:pPr>
              <w:spacing w:line="240" w:lineRule="auto"/>
              <w:ind w:firstLine="0" w:firstLineChars="0"/>
              <w:jc w:val="center"/>
              <w:rPr>
                <w:rFonts w:cs="宋体"/>
                <w:b/>
                <w:bCs/>
                <w:sz w:val="21"/>
                <w:szCs w:val="21"/>
              </w:rPr>
            </w:pPr>
            <w:r>
              <w:rPr>
                <w:rFonts w:hint="eastAsia" w:cs="宋体"/>
                <w:b/>
                <w:bCs/>
                <w:sz w:val="21"/>
                <w:szCs w:val="21"/>
              </w:rPr>
              <w:t>单价</w:t>
            </w:r>
          </w:p>
          <w:p>
            <w:pPr>
              <w:spacing w:line="240" w:lineRule="auto"/>
              <w:ind w:firstLine="0" w:firstLineChars="0"/>
              <w:jc w:val="center"/>
              <w:rPr>
                <w:rFonts w:cs="宋体"/>
                <w:b/>
                <w:bCs/>
                <w:sz w:val="21"/>
                <w:szCs w:val="21"/>
              </w:rPr>
            </w:pPr>
            <w:r>
              <w:rPr>
                <w:rFonts w:hint="eastAsia" w:cs="宋体"/>
                <w:b/>
                <w:bCs/>
                <w:sz w:val="21"/>
                <w:szCs w:val="21"/>
              </w:rPr>
              <w:t>（万元）</w:t>
            </w:r>
          </w:p>
        </w:tc>
        <w:tc>
          <w:tcPr>
            <w:tcW w:w="731" w:type="pct"/>
            <w:vAlign w:val="center"/>
          </w:tcPr>
          <w:p>
            <w:pPr>
              <w:spacing w:line="240" w:lineRule="auto"/>
              <w:ind w:firstLine="0" w:firstLineChars="0"/>
              <w:jc w:val="center"/>
              <w:rPr>
                <w:rFonts w:cs="宋体"/>
                <w:b/>
                <w:bCs/>
                <w:sz w:val="21"/>
                <w:szCs w:val="21"/>
              </w:rPr>
            </w:pPr>
            <w:r>
              <w:rPr>
                <w:rFonts w:hint="eastAsia" w:cs="宋体"/>
                <w:b/>
                <w:bCs/>
                <w:sz w:val="21"/>
                <w:szCs w:val="21"/>
                <w:lang w:val="en-US" w:eastAsia="zh-CN"/>
              </w:rPr>
              <w:t>概</w:t>
            </w:r>
            <w:r>
              <w:rPr>
                <w:rFonts w:hint="eastAsia" w:cs="宋体"/>
                <w:b/>
                <w:bCs/>
                <w:sz w:val="21"/>
                <w:szCs w:val="21"/>
              </w:rPr>
              <w:t>算金额（万元）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shd w:val="clear" w:color="auto" w:fill="auto"/>
            <w:vAlign w:val="center"/>
          </w:tcPr>
          <w:p>
            <w:pPr>
              <w:spacing w:line="240" w:lineRule="auto"/>
              <w:ind w:firstLine="0" w:firstLineChars="0"/>
              <w:jc w:val="center"/>
              <w:rPr>
                <w:sz w:val="21"/>
                <w:szCs w:val="21"/>
              </w:rPr>
            </w:pPr>
            <w:r>
              <w:rPr>
                <w:sz w:val="21"/>
                <w:szCs w:val="21"/>
              </w:rPr>
              <w:t>1</w:t>
            </w:r>
          </w:p>
        </w:tc>
        <w:tc>
          <w:tcPr>
            <w:tcW w:w="567" w:type="pct"/>
            <w:shd w:val="clear" w:color="auto" w:fill="auto"/>
            <w:vAlign w:val="center"/>
          </w:tcPr>
          <w:p>
            <w:pPr>
              <w:spacing w:line="240" w:lineRule="auto"/>
              <w:ind w:firstLine="0" w:firstLineChars="0"/>
              <w:jc w:val="center"/>
              <w:rPr>
                <w:sz w:val="21"/>
                <w:szCs w:val="21"/>
              </w:rPr>
            </w:pPr>
            <w:r>
              <w:rPr>
                <w:rFonts w:hint="eastAsia"/>
                <w:sz w:val="21"/>
                <w:szCs w:val="21"/>
              </w:rPr>
              <w:t>林长综合管理平台完善</w:t>
            </w:r>
          </w:p>
        </w:tc>
        <w:tc>
          <w:tcPr>
            <w:tcW w:w="2137" w:type="pct"/>
            <w:shd w:val="clear" w:color="auto" w:fill="auto"/>
            <w:vAlign w:val="center"/>
          </w:tcPr>
          <w:p>
            <w:pPr>
              <w:spacing w:line="240" w:lineRule="auto"/>
              <w:ind w:firstLine="0" w:firstLineChars="0"/>
              <w:rPr>
                <w:sz w:val="21"/>
                <w:szCs w:val="21"/>
              </w:rPr>
            </w:pPr>
            <w:r>
              <w:rPr>
                <w:rFonts w:hint="eastAsia"/>
                <w:sz w:val="21"/>
                <w:szCs w:val="21"/>
              </w:rPr>
              <w:t>完善林长一张图信息平台。基于GIS结合可视化图表技术，直观展示林区的基础地理信息、责任区、成员单位、人员信息、森林资源数据以及事件、巡护概览、动态信息等业务系统数据等，管理人员可通过“一张图”清晰了解全县林长区域整体的资源分布情况。</w:t>
            </w:r>
          </w:p>
          <w:p>
            <w:pPr>
              <w:spacing w:line="240" w:lineRule="auto"/>
              <w:ind w:firstLine="0" w:firstLineChars="0"/>
              <w:rPr>
                <w:sz w:val="21"/>
                <w:szCs w:val="21"/>
              </w:rPr>
            </w:pPr>
            <w:r>
              <w:rPr>
                <w:rFonts w:hint="eastAsia" w:cs="宋体"/>
                <w:szCs w:val="24"/>
              </w:rPr>
              <w:t>搭建面向数据管理的共享交换中心，实现南澳县林业局信息资源互联互通，为各级林业部门提供满足唯一性、完整性、实时性的数据服务和数据共享交换</w:t>
            </w:r>
          </w:p>
        </w:tc>
        <w:tc>
          <w:tcPr>
            <w:tcW w:w="257" w:type="pct"/>
            <w:shd w:val="clear" w:color="auto" w:fill="auto"/>
            <w:vAlign w:val="center"/>
          </w:tcPr>
          <w:p>
            <w:pPr>
              <w:spacing w:line="240" w:lineRule="auto"/>
              <w:ind w:firstLine="0" w:firstLineChars="0"/>
              <w:jc w:val="center"/>
              <w:rPr>
                <w:sz w:val="21"/>
                <w:szCs w:val="21"/>
              </w:rPr>
            </w:pPr>
            <w:r>
              <w:rPr>
                <w:rFonts w:hint="eastAsia"/>
                <w:sz w:val="21"/>
                <w:szCs w:val="21"/>
              </w:rPr>
              <w:t>项</w:t>
            </w:r>
          </w:p>
        </w:tc>
        <w:tc>
          <w:tcPr>
            <w:tcW w:w="257" w:type="pct"/>
            <w:shd w:val="clear" w:color="auto" w:fill="auto"/>
            <w:vAlign w:val="center"/>
          </w:tcPr>
          <w:p>
            <w:pPr>
              <w:spacing w:line="240" w:lineRule="auto"/>
              <w:ind w:firstLine="0" w:firstLineChars="0"/>
              <w:jc w:val="center"/>
              <w:rPr>
                <w:sz w:val="21"/>
                <w:szCs w:val="21"/>
              </w:rPr>
            </w:pPr>
            <w:r>
              <w:rPr>
                <w:rFonts w:hint="eastAsia"/>
                <w:sz w:val="21"/>
                <w:szCs w:val="21"/>
              </w:rPr>
              <w:t>1</w:t>
            </w:r>
          </w:p>
        </w:tc>
        <w:tc>
          <w:tcPr>
            <w:tcW w:w="692" w:type="pct"/>
            <w:vAlign w:val="center"/>
          </w:tcPr>
          <w:p>
            <w:pPr>
              <w:spacing w:line="240" w:lineRule="auto"/>
              <w:ind w:firstLine="0" w:firstLineChars="0"/>
              <w:jc w:val="center"/>
              <w:rPr>
                <w:sz w:val="21"/>
                <w:szCs w:val="21"/>
              </w:rPr>
            </w:pPr>
            <w:r>
              <w:rPr>
                <w:rFonts w:hint="eastAsia"/>
                <w:sz w:val="21"/>
                <w:szCs w:val="21"/>
              </w:rPr>
              <w:t>8</w:t>
            </w:r>
            <w:r>
              <w:rPr>
                <w:sz w:val="21"/>
                <w:szCs w:val="21"/>
              </w:rPr>
              <w:t>.0</w:t>
            </w:r>
          </w:p>
        </w:tc>
        <w:tc>
          <w:tcPr>
            <w:tcW w:w="731" w:type="pct"/>
            <w:vAlign w:val="center"/>
          </w:tcPr>
          <w:p>
            <w:pPr>
              <w:spacing w:line="240" w:lineRule="auto"/>
              <w:ind w:firstLine="0" w:firstLineChars="0"/>
              <w:jc w:val="center"/>
              <w:rPr>
                <w:sz w:val="21"/>
                <w:szCs w:val="21"/>
              </w:rPr>
            </w:pPr>
            <w:r>
              <w:rPr>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shd w:val="clear" w:color="auto" w:fill="auto"/>
            <w:vAlign w:val="center"/>
          </w:tcPr>
          <w:p>
            <w:pPr>
              <w:spacing w:line="240" w:lineRule="auto"/>
              <w:ind w:firstLine="0" w:firstLineChars="0"/>
              <w:jc w:val="center"/>
              <w:rPr>
                <w:sz w:val="21"/>
                <w:szCs w:val="21"/>
              </w:rPr>
            </w:pPr>
            <w:r>
              <w:rPr>
                <w:rFonts w:hint="eastAsia"/>
                <w:sz w:val="21"/>
                <w:szCs w:val="21"/>
              </w:rPr>
              <w:t>2</w:t>
            </w:r>
          </w:p>
        </w:tc>
        <w:tc>
          <w:tcPr>
            <w:tcW w:w="567" w:type="pct"/>
            <w:shd w:val="clear" w:color="auto" w:fill="auto"/>
            <w:vAlign w:val="center"/>
          </w:tcPr>
          <w:p>
            <w:pPr>
              <w:spacing w:line="240" w:lineRule="auto"/>
              <w:ind w:firstLine="0" w:firstLineChars="0"/>
              <w:jc w:val="center"/>
              <w:rPr>
                <w:sz w:val="21"/>
                <w:szCs w:val="21"/>
              </w:rPr>
            </w:pPr>
            <w:r>
              <w:rPr>
                <w:rFonts w:hint="eastAsia"/>
                <w:sz w:val="21"/>
                <w:szCs w:val="21"/>
              </w:rPr>
              <w:t>数据处理服务</w:t>
            </w:r>
          </w:p>
        </w:tc>
        <w:tc>
          <w:tcPr>
            <w:tcW w:w="2137" w:type="pct"/>
            <w:shd w:val="clear" w:color="auto" w:fill="auto"/>
            <w:vAlign w:val="center"/>
          </w:tcPr>
          <w:p>
            <w:pPr>
              <w:spacing w:line="240" w:lineRule="auto"/>
              <w:ind w:firstLine="0" w:firstLineChars="0"/>
              <w:rPr>
                <w:sz w:val="21"/>
                <w:szCs w:val="21"/>
              </w:rPr>
            </w:pPr>
            <w:r>
              <w:rPr>
                <w:rFonts w:hint="eastAsia"/>
                <w:sz w:val="21"/>
                <w:szCs w:val="21"/>
              </w:rPr>
              <w:t>在一期已建的一张图信息平台的基础上，进一步完善南澳县林业专题图层，包括对全县森林资源数据（森林资源年度更新、森林资源二类调查、公益林天然林数据），森林督查、林木采伐、森林抚育、林地征占用数据，自然保护地、湿地、野生动植物、草地资源数据，灾害防治小班数据（火烧迹地、有害生物发生区域）等森林资源变化图斑数据及林业产业企业数据收集、处理和入库，形成南澳县森林资源专题图层库。</w:t>
            </w:r>
          </w:p>
        </w:tc>
        <w:tc>
          <w:tcPr>
            <w:tcW w:w="257" w:type="pct"/>
            <w:shd w:val="clear" w:color="auto" w:fill="auto"/>
            <w:vAlign w:val="center"/>
          </w:tcPr>
          <w:p>
            <w:pPr>
              <w:spacing w:line="240" w:lineRule="auto"/>
              <w:ind w:firstLine="0" w:firstLineChars="0"/>
              <w:jc w:val="center"/>
              <w:rPr>
                <w:sz w:val="21"/>
                <w:szCs w:val="21"/>
              </w:rPr>
            </w:pPr>
            <w:r>
              <w:rPr>
                <w:rFonts w:hint="eastAsia"/>
                <w:sz w:val="21"/>
                <w:szCs w:val="21"/>
              </w:rPr>
              <w:t>项</w:t>
            </w:r>
          </w:p>
        </w:tc>
        <w:tc>
          <w:tcPr>
            <w:tcW w:w="257" w:type="pct"/>
            <w:shd w:val="clear" w:color="auto" w:fill="auto"/>
            <w:vAlign w:val="center"/>
          </w:tcPr>
          <w:p>
            <w:pPr>
              <w:spacing w:line="240" w:lineRule="auto"/>
              <w:ind w:firstLine="0" w:firstLineChars="0"/>
              <w:jc w:val="center"/>
              <w:rPr>
                <w:sz w:val="21"/>
                <w:szCs w:val="21"/>
              </w:rPr>
            </w:pPr>
            <w:r>
              <w:rPr>
                <w:rFonts w:hint="eastAsia"/>
                <w:sz w:val="21"/>
                <w:szCs w:val="21"/>
              </w:rPr>
              <w:t>1</w:t>
            </w:r>
          </w:p>
        </w:tc>
        <w:tc>
          <w:tcPr>
            <w:tcW w:w="692" w:type="pct"/>
            <w:vAlign w:val="center"/>
          </w:tcPr>
          <w:p>
            <w:pPr>
              <w:spacing w:line="240" w:lineRule="auto"/>
              <w:ind w:firstLine="0" w:firstLineChars="0"/>
              <w:jc w:val="center"/>
              <w:rPr>
                <w:sz w:val="21"/>
                <w:szCs w:val="21"/>
              </w:rPr>
            </w:pPr>
            <w:r>
              <w:rPr>
                <w:sz w:val="21"/>
                <w:szCs w:val="21"/>
              </w:rPr>
              <w:t>5.0</w:t>
            </w:r>
          </w:p>
        </w:tc>
        <w:tc>
          <w:tcPr>
            <w:tcW w:w="731" w:type="pct"/>
            <w:vAlign w:val="center"/>
          </w:tcPr>
          <w:p>
            <w:pPr>
              <w:spacing w:line="240" w:lineRule="auto"/>
              <w:ind w:firstLine="0" w:firstLineChars="0"/>
              <w:jc w:val="center"/>
              <w:rPr>
                <w:sz w:val="21"/>
                <w:szCs w:val="21"/>
              </w:rPr>
            </w:pPr>
            <w:r>
              <w:rPr>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shd w:val="clear" w:color="auto" w:fill="auto"/>
            <w:vAlign w:val="center"/>
          </w:tcPr>
          <w:p>
            <w:pPr>
              <w:spacing w:line="240" w:lineRule="auto"/>
              <w:ind w:firstLine="0" w:firstLineChars="0"/>
              <w:jc w:val="center"/>
              <w:rPr>
                <w:sz w:val="21"/>
                <w:szCs w:val="21"/>
              </w:rPr>
            </w:pPr>
            <w:r>
              <w:rPr>
                <w:rFonts w:hint="eastAsia"/>
                <w:sz w:val="21"/>
                <w:szCs w:val="21"/>
              </w:rPr>
              <w:t>3</w:t>
            </w:r>
          </w:p>
        </w:tc>
        <w:tc>
          <w:tcPr>
            <w:tcW w:w="567" w:type="pct"/>
            <w:shd w:val="clear" w:color="auto" w:fill="auto"/>
            <w:vAlign w:val="center"/>
          </w:tcPr>
          <w:p>
            <w:pPr>
              <w:spacing w:line="240" w:lineRule="auto"/>
              <w:ind w:firstLine="0" w:firstLineChars="0"/>
              <w:jc w:val="center"/>
              <w:rPr>
                <w:sz w:val="21"/>
                <w:szCs w:val="21"/>
              </w:rPr>
            </w:pPr>
            <w:r>
              <w:rPr>
                <w:rFonts w:hint="eastAsia"/>
                <w:sz w:val="21"/>
                <w:szCs w:val="21"/>
              </w:rPr>
              <w:t>林长制公示牌</w:t>
            </w:r>
          </w:p>
        </w:tc>
        <w:tc>
          <w:tcPr>
            <w:tcW w:w="2137" w:type="pct"/>
            <w:shd w:val="clear" w:color="auto" w:fill="auto"/>
            <w:vAlign w:val="center"/>
          </w:tcPr>
          <w:p>
            <w:pPr>
              <w:spacing w:line="240" w:lineRule="auto"/>
              <w:ind w:firstLine="0" w:firstLineChars="0"/>
            </w:pPr>
            <w:r>
              <w:rPr>
                <w:rFonts w:hint="eastAsia"/>
              </w:rPr>
              <w:t>镀锌钢板静电喷塑宣传栏，左边立柱用15X15CM加厚镀锌管静电喷塑，右边100X342CMX15CM厚镀锌钢板静电喷塑,做屋顶造型，总尺寸：397X432CM,中间箱体画面尺寸240X120CM工程级写真膜，右边造型画面和花纹贴PVCUV打印</w:t>
            </w:r>
          </w:p>
          <w:p>
            <w:pPr>
              <w:spacing w:line="240" w:lineRule="auto"/>
              <w:ind w:firstLine="0" w:firstLineChars="0"/>
            </w:pPr>
            <w:r>
              <w:rPr>
                <w:rFonts w:hint="eastAsia"/>
              </w:rPr>
              <w:t>下面水泥混泥土加固安装</w:t>
            </w:r>
          </w:p>
        </w:tc>
        <w:tc>
          <w:tcPr>
            <w:tcW w:w="257" w:type="pct"/>
            <w:shd w:val="clear" w:color="auto" w:fill="auto"/>
            <w:vAlign w:val="center"/>
          </w:tcPr>
          <w:p>
            <w:pPr>
              <w:spacing w:line="240" w:lineRule="auto"/>
              <w:ind w:firstLine="0" w:firstLineChars="0"/>
              <w:jc w:val="center"/>
              <w:rPr>
                <w:sz w:val="21"/>
                <w:szCs w:val="21"/>
              </w:rPr>
            </w:pPr>
            <w:r>
              <w:rPr>
                <w:rFonts w:hint="eastAsia"/>
                <w:sz w:val="21"/>
                <w:szCs w:val="21"/>
              </w:rPr>
              <w:t>个</w:t>
            </w:r>
          </w:p>
        </w:tc>
        <w:tc>
          <w:tcPr>
            <w:tcW w:w="257" w:type="pct"/>
            <w:shd w:val="clear" w:color="auto" w:fill="auto"/>
            <w:vAlign w:val="center"/>
          </w:tcPr>
          <w:p>
            <w:pPr>
              <w:spacing w:line="240" w:lineRule="auto"/>
              <w:ind w:firstLine="0" w:firstLineChars="0"/>
              <w:jc w:val="center"/>
              <w:rPr>
                <w:sz w:val="21"/>
                <w:szCs w:val="21"/>
              </w:rPr>
            </w:pPr>
            <w:r>
              <w:rPr>
                <w:sz w:val="21"/>
                <w:szCs w:val="21"/>
              </w:rPr>
              <w:t>1</w:t>
            </w:r>
          </w:p>
        </w:tc>
        <w:tc>
          <w:tcPr>
            <w:tcW w:w="692" w:type="pct"/>
            <w:vAlign w:val="center"/>
          </w:tcPr>
          <w:p>
            <w:pPr>
              <w:spacing w:line="240" w:lineRule="auto"/>
              <w:ind w:firstLine="0" w:firstLineChars="0"/>
              <w:jc w:val="center"/>
              <w:rPr>
                <w:sz w:val="21"/>
                <w:szCs w:val="21"/>
              </w:rPr>
            </w:pPr>
            <w:r>
              <w:rPr>
                <w:rFonts w:ascii="宋体" w:hAnsi="宋体"/>
                <w:color w:val="000000"/>
                <w:kern w:val="0"/>
                <w:sz w:val="21"/>
                <w:szCs w:val="21"/>
                <w:lang w:bidi="ar"/>
              </w:rPr>
              <w:t>1.0</w:t>
            </w:r>
          </w:p>
        </w:tc>
        <w:tc>
          <w:tcPr>
            <w:tcW w:w="731" w:type="pct"/>
            <w:vAlign w:val="center"/>
          </w:tcPr>
          <w:p>
            <w:pPr>
              <w:spacing w:line="240" w:lineRule="auto"/>
              <w:ind w:firstLine="0" w:firstLineChars="0"/>
              <w:jc w:val="center"/>
              <w:rPr>
                <w:sz w:val="21"/>
                <w:szCs w:val="21"/>
              </w:rPr>
            </w:pPr>
            <w:r>
              <w:rPr>
                <w:sz w:val="21"/>
                <w:szCs w:val="21"/>
              </w:rPr>
              <w:t>1</w:t>
            </w:r>
            <w:r>
              <w:rPr>
                <w:rFonts w:hint="eastAsia"/>
                <w:sz w:val="21"/>
                <w:szCs w:val="21"/>
              </w:rPr>
              <w:t>.</w:t>
            </w:r>
            <w:r>
              <w:rPr>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Merge w:val="restart"/>
            <w:shd w:val="clear" w:color="auto" w:fill="auto"/>
            <w:vAlign w:val="center"/>
          </w:tcPr>
          <w:p>
            <w:pPr>
              <w:spacing w:line="240" w:lineRule="auto"/>
              <w:ind w:firstLine="0" w:firstLineChars="0"/>
              <w:jc w:val="center"/>
              <w:rPr>
                <w:sz w:val="21"/>
                <w:szCs w:val="21"/>
              </w:rPr>
            </w:pPr>
            <w:r>
              <w:rPr>
                <w:rFonts w:hint="eastAsia"/>
                <w:sz w:val="21"/>
                <w:szCs w:val="21"/>
              </w:rPr>
              <w:t>4</w:t>
            </w:r>
          </w:p>
        </w:tc>
        <w:tc>
          <w:tcPr>
            <w:tcW w:w="567" w:type="pct"/>
            <w:vMerge w:val="restart"/>
            <w:shd w:val="clear" w:color="auto" w:fill="auto"/>
            <w:vAlign w:val="center"/>
          </w:tcPr>
          <w:p>
            <w:pPr>
              <w:spacing w:line="240" w:lineRule="auto"/>
              <w:ind w:firstLine="0" w:firstLineChars="0"/>
              <w:jc w:val="center"/>
              <w:rPr>
                <w:sz w:val="21"/>
                <w:szCs w:val="21"/>
              </w:rPr>
            </w:pPr>
            <w:r>
              <w:rPr>
                <w:rFonts w:hint="eastAsia"/>
                <w:sz w:val="21"/>
                <w:szCs w:val="21"/>
              </w:rPr>
              <w:t>智能球机监控系统</w:t>
            </w:r>
          </w:p>
        </w:tc>
        <w:tc>
          <w:tcPr>
            <w:tcW w:w="2137" w:type="pct"/>
            <w:shd w:val="clear" w:color="auto" w:fill="auto"/>
            <w:vAlign w:val="center"/>
          </w:tcPr>
          <w:p>
            <w:pPr>
              <w:spacing w:line="240" w:lineRule="auto"/>
              <w:ind w:firstLine="0" w:firstLineChars="0"/>
              <w:rPr>
                <w:rFonts w:cs="宋体"/>
                <w:sz w:val="21"/>
                <w:szCs w:val="21"/>
              </w:rPr>
            </w:pPr>
            <w:r>
              <w:rPr>
                <w:rFonts w:hint="eastAsia" w:cs="宋体"/>
                <w:sz w:val="21"/>
                <w:szCs w:val="21"/>
              </w:rPr>
              <w:t>在林区制高点安装3套智能360度旋转的球机系统，其包含了高清摄像机球机、设备箱、太阳能电源、防雷接地等模块，对林区全方位进行监控。把森林防火各项措施抓早、抓细、抓实，有效地避免森林火灾的发生</w:t>
            </w:r>
          </w:p>
        </w:tc>
        <w:tc>
          <w:tcPr>
            <w:tcW w:w="257" w:type="pct"/>
            <w:shd w:val="clear" w:color="auto" w:fill="auto"/>
            <w:vAlign w:val="center"/>
          </w:tcPr>
          <w:p>
            <w:pPr>
              <w:spacing w:line="240" w:lineRule="auto"/>
              <w:ind w:firstLine="0" w:firstLineChars="0"/>
              <w:jc w:val="center"/>
              <w:rPr>
                <w:sz w:val="21"/>
                <w:szCs w:val="21"/>
              </w:rPr>
            </w:pPr>
            <w:r>
              <w:rPr>
                <w:rFonts w:hint="eastAsia"/>
                <w:sz w:val="21"/>
                <w:szCs w:val="21"/>
              </w:rPr>
              <w:t>台</w:t>
            </w:r>
          </w:p>
        </w:tc>
        <w:tc>
          <w:tcPr>
            <w:tcW w:w="257" w:type="pct"/>
            <w:shd w:val="clear" w:color="auto" w:fill="auto"/>
            <w:vAlign w:val="center"/>
          </w:tcPr>
          <w:p>
            <w:pPr>
              <w:spacing w:line="240" w:lineRule="auto"/>
              <w:ind w:firstLine="0" w:firstLineChars="0"/>
              <w:jc w:val="center"/>
              <w:rPr>
                <w:sz w:val="21"/>
                <w:szCs w:val="21"/>
              </w:rPr>
            </w:pPr>
            <w:r>
              <w:rPr>
                <w:sz w:val="21"/>
                <w:szCs w:val="21"/>
              </w:rPr>
              <w:t>3</w:t>
            </w:r>
          </w:p>
        </w:tc>
        <w:tc>
          <w:tcPr>
            <w:tcW w:w="692" w:type="pct"/>
            <w:vAlign w:val="center"/>
          </w:tcPr>
          <w:p>
            <w:pPr>
              <w:spacing w:line="240" w:lineRule="auto"/>
              <w:ind w:firstLine="0" w:firstLineChars="0"/>
              <w:jc w:val="center"/>
              <w:rPr>
                <w:sz w:val="21"/>
                <w:szCs w:val="21"/>
              </w:rPr>
            </w:pPr>
            <w:r>
              <w:rPr>
                <w:sz w:val="21"/>
                <w:szCs w:val="21"/>
              </w:rPr>
              <w:t>2.8</w:t>
            </w:r>
          </w:p>
        </w:tc>
        <w:tc>
          <w:tcPr>
            <w:tcW w:w="731" w:type="pct"/>
            <w:vAlign w:val="center"/>
          </w:tcPr>
          <w:p>
            <w:pPr>
              <w:spacing w:line="240" w:lineRule="auto"/>
              <w:ind w:firstLine="0" w:firstLineChars="0"/>
              <w:jc w:val="center"/>
              <w:rPr>
                <w:sz w:val="21"/>
                <w:szCs w:val="21"/>
              </w:rPr>
            </w:pPr>
            <w:r>
              <w:rPr>
                <w:sz w:val="21"/>
                <w:szCs w:val="21"/>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Merge w:val="continue"/>
            <w:shd w:val="clear" w:color="auto" w:fill="auto"/>
            <w:vAlign w:val="center"/>
          </w:tcPr>
          <w:p>
            <w:pPr>
              <w:spacing w:line="240" w:lineRule="auto"/>
              <w:ind w:firstLine="0" w:firstLineChars="0"/>
              <w:jc w:val="center"/>
              <w:rPr>
                <w:sz w:val="21"/>
                <w:szCs w:val="21"/>
              </w:rPr>
            </w:pPr>
          </w:p>
        </w:tc>
        <w:tc>
          <w:tcPr>
            <w:tcW w:w="567" w:type="pct"/>
            <w:vMerge w:val="continue"/>
            <w:shd w:val="clear" w:color="auto" w:fill="auto"/>
            <w:vAlign w:val="center"/>
          </w:tcPr>
          <w:p>
            <w:pPr>
              <w:spacing w:line="240" w:lineRule="auto"/>
              <w:ind w:firstLine="0" w:firstLineChars="0"/>
              <w:jc w:val="center"/>
              <w:rPr>
                <w:sz w:val="21"/>
                <w:szCs w:val="21"/>
              </w:rPr>
            </w:pPr>
          </w:p>
        </w:tc>
        <w:tc>
          <w:tcPr>
            <w:tcW w:w="2137" w:type="pct"/>
            <w:shd w:val="clear" w:color="auto" w:fill="auto"/>
            <w:vAlign w:val="center"/>
          </w:tcPr>
          <w:p>
            <w:pPr>
              <w:spacing w:line="240" w:lineRule="auto"/>
              <w:ind w:firstLine="0" w:firstLineChars="0"/>
              <w:rPr>
                <w:rFonts w:cs="宋体"/>
                <w:sz w:val="21"/>
                <w:szCs w:val="21"/>
              </w:rPr>
            </w:pPr>
            <w:r>
              <w:rPr>
                <w:rFonts w:hint="eastAsia" w:cs="宋体"/>
                <w:sz w:val="21"/>
                <w:szCs w:val="21"/>
              </w:rPr>
              <w:t>1</w:t>
            </w:r>
            <w:r>
              <w:rPr>
                <w:rFonts w:cs="宋体"/>
                <w:sz w:val="21"/>
                <w:szCs w:val="21"/>
              </w:rPr>
              <w:t>0</w:t>
            </w:r>
            <w:r>
              <w:rPr>
                <w:rFonts w:hint="eastAsia" w:cs="宋体"/>
                <w:sz w:val="21"/>
                <w:szCs w:val="21"/>
              </w:rPr>
              <w:t>M链路租赁费（3年）</w:t>
            </w:r>
          </w:p>
        </w:tc>
        <w:tc>
          <w:tcPr>
            <w:tcW w:w="257" w:type="pct"/>
            <w:shd w:val="clear" w:color="auto" w:fill="auto"/>
            <w:vAlign w:val="center"/>
          </w:tcPr>
          <w:p>
            <w:pPr>
              <w:spacing w:line="240" w:lineRule="auto"/>
              <w:ind w:firstLine="0" w:firstLineChars="0"/>
              <w:jc w:val="center"/>
              <w:rPr>
                <w:sz w:val="21"/>
                <w:szCs w:val="21"/>
              </w:rPr>
            </w:pPr>
            <w:r>
              <w:rPr>
                <w:rFonts w:hint="eastAsia"/>
                <w:sz w:val="21"/>
                <w:szCs w:val="21"/>
              </w:rPr>
              <w:t>条</w:t>
            </w:r>
          </w:p>
        </w:tc>
        <w:tc>
          <w:tcPr>
            <w:tcW w:w="257" w:type="pct"/>
            <w:shd w:val="clear" w:color="auto" w:fill="auto"/>
            <w:vAlign w:val="center"/>
          </w:tcPr>
          <w:p>
            <w:pPr>
              <w:spacing w:line="240" w:lineRule="auto"/>
              <w:ind w:firstLine="0" w:firstLineChars="0"/>
              <w:jc w:val="center"/>
              <w:rPr>
                <w:sz w:val="21"/>
                <w:szCs w:val="21"/>
              </w:rPr>
            </w:pPr>
            <w:r>
              <w:rPr>
                <w:rFonts w:hint="eastAsia"/>
                <w:sz w:val="21"/>
                <w:szCs w:val="21"/>
              </w:rPr>
              <w:t>3</w:t>
            </w:r>
          </w:p>
        </w:tc>
        <w:tc>
          <w:tcPr>
            <w:tcW w:w="692" w:type="pct"/>
            <w:vAlign w:val="center"/>
          </w:tcPr>
          <w:p>
            <w:pPr>
              <w:spacing w:line="240" w:lineRule="auto"/>
              <w:ind w:firstLine="0" w:firstLineChars="0"/>
              <w:jc w:val="center"/>
              <w:rPr>
                <w:sz w:val="21"/>
                <w:szCs w:val="21"/>
              </w:rPr>
            </w:pPr>
            <w:r>
              <w:rPr>
                <w:sz w:val="21"/>
                <w:szCs w:val="21"/>
              </w:rPr>
              <w:t>3.2</w:t>
            </w:r>
          </w:p>
        </w:tc>
        <w:tc>
          <w:tcPr>
            <w:tcW w:w="731" w:type="pct"/>
            <w:vAlign w:val="center"/>
          </w:tcPr>
          <w:p>
            <w:pPr>
              <w:spacing w:line="240" w:lineRule="auto"/>
              <w:ind w:firstLine="0" w:firstLineChars="0"/>
              <w:jc w:val="center"/>
              <w:rPr>
                <w:sz w:val="21"/>
                <w:szCs w:val="21"/>
              </w:rPr>
            </w:pPr>
            <w:r>
              <w:rPr>
                <w:sz w:val="21"/>
                <w:szCs w:val="21"/>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shd w:val="clear" w:color="auto" w:fill="auto"/>
            <w:vAlign w:val="center"/>
          </w:tcPr>
          <w:p>
            <w:pPr>
              <w:spacing w:line="240" w:lineRule="auto"/>
              <w:ind w:firstLine="0" w:firstLineChars="0"/>
              <w:jc w:val="center"/>
              <w:rPr>
                <w:sz w:val="21"/>
                <w:szCs w:val="21"/>
              </w:rPr>
            </w:pPr>
            <w:r>
              <w:rPr>
                <w:rFonts w:hint="eastAsia"/>
                <w:sz w:val="21"/>
                <w:szCs w:val="21"/>
              </w:rPr>
              <w:t>5</w:t>
            </w:r>
          </w:p>
        </w:tc>
        <w:tc>
          <w:tcPr>
            <w:tcW w:w="567" w:type="pct"/>
            <w:shd w:val="clear" w:color="auto" w:fill="auto"/>
            <w:vAlign w:val="center"/>
          </w:tcPr>
          <w:p>
            <w:pPr>
              <w:spacing w:line="240" w:lineRule="auto"/>
              <w:ind w:firstLine="0" w:firstLineChars="0"/>
              <w:jc w:val="center"/>
              <w:rPr>
                <w:sz w:val="21"/>
                <w:szCs w:val="21"/>
              </w:rPr>
            </w:pPr>
            <w:r>
              <w:rPr>
                <w:rFonts w:hint="eastAsia"/>
                <w:sz w:val="21"/>
                <w:szCs w:val="21"/>
              </w:rPr>
              <w:t>森林哨位</w:t>
            </w:r>
          </w:p>
        </w:tc>
        <w:tc>
          <w:tcPr>
            <w:tcW w:w="2137" w:type="pct"/>
            <w:shd w:val="clear" w:color="auto" w:fill="auto"/>
            <w:vAlign w:val="center"/>
          </w:tcPr>
          <w:p>
            <w:pPr>
              <w:spacing w:line="240" w:lineRule="auto"/>
              <w:ind w:firstLine="0" w:firstLineChars="0"/>
              <w:rPr>
                <w:rFonts w:cs="宋体"/>
                <w:sz w:val="21"/>
                <w:szCs w:val="21"/>
              </w:rPr>
            </w:pPr>
            <w:r>
              <w:rPr>
                <w:rFonts w:hint="eastAsia" w:cs="宋体"/>
                <w:sz w:val="21"/>
                <w:szCs w:val="21"/>
              </w:rPr>
              <w:t>视频监控系统+红外感应系统+宣教音频系统+显示系统+太阳能供电系统+远程传输系统；（视频监控系统：1080p 200万像素星光级摄像机，传感器类型: 1/2.8＂，具有透雾功能；可选现场语音对讲功能，红外感应系统：检测距离可达15M；宣教音频系统：宣传音频，可在线更新音频内容，可实时喊话；支持车牌识别和人脸抓怕功能，显示系统：LED显示屏，可在线更新显示内容，可选多语言文字显示；太阳能供电：单晶硅太阳能板，免维护胶体蓄电池；远程传输系统：采用4G路由器接入互联网，支持GPS定位；可扩展功能：支持定制气象参数检测），含基础建设、防雷、两年运维和流量以及培训使用等</w:t>
            </w:r>
          </w:p>
        </w:tc>
        <w:tc>
          <w:tcPr>
            <w:tcW w:w="257" w:type="pct"/>
            <w:shd w:val="clear" w:color="auto" w:fill="auto"/>
            <w:vAlign w:val="center"/>
          </w:tcPr>
          <w:p>
            <w:pPr>
              <w:spacing w:line="240" w:lineRule="auto"/>
              <w:ind w:firstLine="0" w:firstLineChars="0"/>
              <w:jc w:val="center"/>
              <w:rPr>
                <w:sz w:val="21"/>
                <w:szCs w:val="21"/>
              </w:rPr>
            </w:pPr>
            <w:r>
              <w:rPr>
                <w:rFonts w:hint="eastAsia"/>
                <w:sz w:val="21"/>
                <w:szCs w:val="21"/>
              </w:rPr>
              <w:t>套</w:t>
            </w:r>
          </w:p>
        </w:tc>
        <w:tc>
          <w:tcPr>
            <w:tcW w:w="257" w:type="pct"/>
            <w:shd w:val="clear" w:color="auto" w:fill="auto"/>
            <w:vAlign w:val="center"/>
          </w:tcPr>
          <w:p>
            <w:pPr>
              <w:spacing w:line="240" w:lineRule="auto"/>
              <w:ind w:firstLine="0" w:firstLineChars="0"/>
              <w:jc w:val="center"/>
              <w:rPr>
                <w:sz w:val="21"/>
                <w:szCs w:val="21"/>
              </w:rPr>
            </w:pPr>
            <w:r>
              <w:rPr>
                <w:sz w:val="21"/>
                <w:szCs w:val="21"/>
              </w:rPr>
              <w:t>4</w:t>
            </w:r>
          </w:p>
        </w:tc>
        <w:tc>
          <w:tcPr>
            <w:tcW w:w="692" w:type="pct"/>
            <w:vAlign w:val="center"/>
          </w:tcPr>
          <w:p>
            <w:pPr>
              <w:spacing w:line="240" w:lineRule="auto"/>
              <w:ind w:firstLine="0" w:firstLineChars="0"/>
              <w:jc w:val="center"/>
              <w:rPr>
                <w:sz w:val="21"/>
                <w:szCs w:val="21"/>
              </w:rPr>
            </w:pPr>
            <w:r>
              <w:rPr>
                <w:sz w:val="21"/>
                <w:szCs w:val="21"/>
              </w:rPr>
              <w:t>2.875</w:t>
            </w:r>
          </w:p>
        </w:tc>
        <w:tc>
          <w:tcPr>
            <w:tcW w:w="731" w:type="pct"/>
            <w:vAlign w:val="center"/>
          </w:tcPr>
          <w:p>
            <w:pPr>
              <w:spacing w:line="240" w:lineRule="auto"/>
              <w:ind w:firstLine="0" w:firstLineChars="0"/>
              <w:jc w:val="center"/>
              <w:rPr>
                <w:sz w:val="21"/>
                <w:szCs w:val="21"/>
              </w:rPr>
            </w:pPr>
            <w:r>
              <w:rPr>
                <w:sz w:val="21"/>
                <w:szCs w:val="21"/>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shd w:val="clear" w:color="auto" w:fill="auto"/>
            <w:vAlign w:val="center"/>
          </w:tcPr>
          <w:p>
            <w:pPr>
              <w:spacing w:line="240" w:lineRule="auto"/>
              <w:ind w:firstLine="0" w:firstLineChars="0"/>
              <w:jc w:val="center"/>
              <w:rPr>
                <w:sz w:val="21"/>
                <w:szCs w:val="21"/>
              </w:rPr>
            </w:pPr>
            <w:r>
              <w:rPr>
                <w:sz w:val="21"/>
                <w:szCs w:val="21"/>
              </w:rPr>
              <w:t>6</w:t>
            </w:r>
          </w:p>
        </w:tc>
        <w:tc>
          <w:tcPr>
            <w:tcW w:w="567" w:type="pct"/>
            <w:shd w:val="clear" w:color="auto" w:fill="auto"/>
            <w:vAlign w:val="center"/>
          </w:tcPr>
          <w:p>
            <w:pPr>
              <w:spacing w:line="240" w:lineRule="auto"/>
              <w:ind w:firstLine="0" w:firstLineChars="0"/>
              <w:jc w:val="center"/>
              <w:rPr>
                <w:sz w:val="21"/>
                <w:szCs w:val="21"/>
              </w:rPr>
            </w:pPr>
            <w:r>
              <w:rPr>
                <w:rFonts w:hint="eastAsia"/>
                <w:sz w:val="21"/>
                <w:szCs w:val="21"/>
              </w:rPr>
              <w:t>红外相机</w:t>
            </w:r>
          </w:p>
        </w:tc>
        <w:tc>
          <w:tcPr>
            <w:tcW w:w="2137" w:type="pct"/>
            <w:shd w:val="clear" w:color="auto" w:fill="auto"/>
            <w:vAlign w:val="center"/>
          </w:tcPr>
          <w:p>
            <w:pPr>
              <w:spacing w:line="240" w:lineRule="auto"/>
              <w:ind w:firstLine="0" w:firstLineChars="0"/>
              <w:rPr>
                <w:sz w:val="21"/>
                <w:szCs w:val="21"/>
              </w:rPr>
            </w:pPr>
            <w:r>
              <w:rPr>
                <w:rFonts w:hint="eastAsia" w:cs="宋体"/>
                <w:sz w:val="21"/>
                <w:szCs w:val="21"/>
              </w:rPr>
              <w:t>通过红外相机监测实现南澳县野生动物监控，以图文形式展示区域内野生动物的资料信息，包括图像、栖息地、属性等将已有的野生动物信息进行信息化登记，栖息地进行矢量化，登记位置信息，并通过可视化的方式展示录像、图片等。</w:t>
            </w:r>
          </w:p>
        </w:tc>
        <w:tc>
          <w:tcPr>
            <w:tcW w:w="257" w:type="pct"/>
            <w:shd w:val="clear" w:color="auto" w:fill="auto"/>
            <w:vAlign w:val="center"/>
          </w:tcPr>
          <w:p>
            <w:pPr>
              <w:spacing w:line="240" w:lineRule="auto"/>
              <w:ind w:firstLine="0" w:firstLineChars="0"/>
              <w:jc w:val="center"/>
              <w:rPr>
                <w:sz w:val="21"/>
                <w:szCs w:val="21"/>
              </w:rPr>
            </w:pPr>
            <w:r>
              <w:rPr>
                <w:rFonts w:hint="eastAsia"/>
                <w:sz w:val="21"/>
                <w:szCs w:val="21"/>
              </w:rPr>
              <w:t>台</w:t>
            </w:r>
          </w:p>
        </w:tc>
        <w:tc>
          <w:tcPr>
            <w:tcW w:w="257" w:type="pct"/>
            <w:shd w:val="clear" w:color="auto" w:fill="auto"/>
            <w:vAlign w:val="center"/>
          </w:tcPr>
          <w:p>
            <w:pPr>
              <w:spacing w:line="240" w:lineRule="auto"/>
              <w:ind w:firstLine="0" w:firstLineChars="0"/>
              <w:jc w:val="center"/>
              <w:rPr>
                <w:sz w:val="21"/>
                <w:szCs w:val="21"/>
              </w:rPr>
            </w:pPr>
            <w:r>
              <w:rPr>
                <w:rFonts w:hint="eastAsia"/>
                <w:sz w:val="21"/>
                <w:szCs w:val="21"/>
              </w:rPr>
              <w:t>1</w:t>
            </w:r>
            <w:r>
              <w:rPr>
                <w:sz w:val="21"/>
                <w:szCs w:val="21"/>
              </w:rPr>
              <w:t>0</w:t>
            </w:r>
          </w:p>
        </w:tc>
        <w:tc>
          <w:tcPr>
            <w:tcW w:w="692" w:type="pct"/>
            <w:vAlign w:val="center"/>
          </w:tcPr>
          <w:p>
            <w:pPr>
              <w:spacing w:line="240" w:lineRule="auto"/>
              <w:ind w:firstLine="0" w:firstLineChars="0"/>
              <w:jc w:val="center"/>
              <w:rPr>
                <w:sz w:val="21"/>
                <w:szCs w:val="21"/>
              </w:rPr>
            </w:pPr>
            <w:r>
              <w:rPr>
                <w:rFonts w:hint="eastAsia"/>
                <w:sz w:val="21"/>
                <w:szCs w:val="21"/>
              </w:rPr>
              <w:t>0</w:t>
            </w:r>
            <w:r>
              <w:rPr>
                <w:sz w:val="21"/>
                <w:szCs w:val="21"/>
              </w:rPr>
              <w:t>.45</w:t>
            </w:r>
          </w:p>
        </w:tc>
        <w:tc>
          <w:tcPr>
            <w:tcW w:w="731" w:type="pct"/>
            <w:vAlign w:val="center"/>
          </w:tcPr>
          <w:p>
            <w:pPr>
              <w:spacing w:line="240" w:lineRule="auto"/>
              <w:ind w:firstLine="0" w:firstLineChars="0"/>
              <w:jc w:val="center"/>
              <w:rPr>
                <w:sz w:val="21"/>
                <w:szCs w:val="21"/>
              </w:rPr>
            </w:pPr>
            <w:r>
              <w:rPr>
                <w:sz w:val="21"/>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shd w:val="clear" w:color="auto" w:fill="auto"/>
            <w:vAlign w:val="center"/>
          </w:tcPr>
          <w:p>
            <w:pPr>
              <w:spacing w:line="240" w:lineRule="auto"/>
              <w:ind w:firstLine="0" w:firstLineChars="0"/>
              <w:jc w:val="center"/>
              <w:rPr>
                <w:sz w:val="21"/>
                <w:szCs w:val="21"/>
              </w:rPr>
            </w:pPr>
            <w:r>
              <w:rPr>
                <w:rFonts w:hint="eastAsia"/>
                <w:sz w:val="21"/>
                <w:szCs w:val="21"/>
              </w:rPr>
              <w:t>2</w:t>
            </w:r>
          </w:p>
        </w:tc>
        <w:tc>
          <w:tcPr>
            <w:tcW w:w="567" w:type="pct"/>
            <w:shd w:val="clear" w:color="auto" w:fill="auto"/>
            <w:vAlign w:val="center"/>
          </w:tcPr>
          <w:p>
            <w:pPr>
              <w:spacing w:line="240" w:lineRule="auto"/>
              <w:ind w:firstLine="0" w:firstLineChars="0"/>
              <w:jc w:val="center"/>
              <w:rPr>
                <w:sz w:val="21"/>
                <w:szCs w:val="21"/>
              </w:rPr>
            </w:pPr>
            <w:r>
              <w:rPr>
                <w:rFonts w:hint="eastAsia"/>
                <w:sz w:val="21"/>
                <w:szCs w:val="21"/>
              </w:rPr>
              <w:t>培训及维护</w:t>
            </w:r>
          </w:p>
        </w:tc>
        <w:tc>
          <w:tcPr>
            <w:tcW w:w="2137" w:type="pct"/>
            <w:shd w:val="clear" w:color="auto" w:fill="auto"/>
            <w:vAlign w:val="center"/>
          </w:tcPr>
          <w:p>
            <w:pPr>
              <w:spacing w:line="240" w:lineRule="auto"/>
              <w:ind w:firstLine="0" w:firstLineChars="0"/>
              <w:rPr>
                <w:rFonts w:cs="宋体"/>
                <w:sz w:val="21"/>
                <w:szCs w:val="21"/>
              </w:rPr>
            </w:pPr>
            <w:r>
              <w:rPr>
                <w:rFonts w:hint="eastAsia" w:cs="宋体"/>
                <w:sz w:val="21"/>
                <w:szCs w:val="21"/>
              </w:rPr>
              <w:t>培训及维护，操作和使用培训，使用答疑等。</w:t>
            </w:r>
          </w:p>
        </w:tc>
        <w:tc>
          <w:tcPr>
            <w:tcW w:w="257" w:type="pct"/>
            <w:shd w:val="clear" w:color="auto" w:fill="auto"/>
            <w:vAlign w:val="center"/>
          </w:tcPr>
          <w:p>
            <w:pPr>
              <w:spacing w:line="240" w:lineRule="auto"/>
              <w:ind w:firstLine="0" w:firstLineChars="0"/>
              <w:jc w:val="center"/>
              <w:rPr>
                <w:sz w:val="21"/>
                <w:szCs w:val="21"/>
              </w:rPr>
            </w:pPr>
            <w:r>
              <w:rPr>
                <w:rFonts w:hint="eastAsia"/>
                <w:sz w:val="21"/>
                <w:szCs w:val="21"/>
              </w:rPr>
              <w:t>项</w:t>
            </w:r>
          </w:p>
        </w:tc>
        <w:tc>
          <w:tcPr>
            <w:tcW w:w="257" w:type="pct"/>
            <w:shd w:val="clear" w:color="auto" w:fill="auto"/>
            <w:vAlign w:val="center"/>
          </w:tcPr>
          <w:p>
            <w:pPr>
              <w:spacing w:line="240" w:lineRule="auto"/>
              <w:ind w:firstLine="0" w:firstLineChars="0"/>
              <w:jc w:val="center"/>
              <w:rPr>
                <w:sz w:val="21"/>
                <w:szCs w:val="21"/>
              </w:rPr>
            </w:pPr>
            <w:r>
              <w:rPr>
                <w:rFonts w:hint="eastAsia"/>
                <w:sz w:val="21"/>
                <w:szCs w:val="21"/>
              </w:rPr>
              <w:t>1</w:t>
            </w:r>
          </w:p>
        </w:tc>
        <w:tc>
          <w:tcPr>
            <w:tcW w:w="692" w:type="pct"/>
            <w:vAlign w:val="center"/>
          </w:tcPr>
          <w:p>
            <w:pPr>
              <w:spacing w:line="240" w:lineRule="auto"/>
              <w:ind w:firstLine="0" w:firstLineChars="0"/>
              <w:jc w:val="center"/>
              <w:rPr>
                <w:sz w:val="21"/>
                <w:szCs w:val="21"/>
              </w:rPr>
            </w:pPr>
            <w:r>
              <w:rPr>
                <w:rFonts w:hint="eastAsia"/>
                <w:sz w:val="21"/>
                <w:szCs w:val="21"/>
              </w:rPr>
              <w:t>2</w:t>
            </w:r>
          </w:p>
        </w:tc>
        <w:tc>
          <w:tcPr>
            <w:tcW w:w="731" w:type="pct"/>
            <w:vAlign w:val="center"/>
          </w:tcPr>
          <w:p>
            <w:pPr>
              <w:spacing w:line="240" w:lineRule="auto"/>
              <w:ind w:firstLine="0" w:firstLineChars="0"/>
              <w:jc w:val="center"/>
              <w:rPr>
                <w:sz w:val="21"/>
                <w:szCs w:val="21"/>
              </w:rPr>
            </w:pPr>
            <w:r>
              <w:rPr>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3577" w:type="pct"/>
            <w:gridSpan w:val="5"/>
            <w:shd w:val="clear" w:color="auto" w:fill="auto"/>
            <w:vAlign w:val="center"/>
          </w:tcPr>
          <w:p>
            <w:pPr>
              <w:spacing w:line="240" w:lineRule="auto"/>
              <w:ind w:firstLine="0" w:firstLineChars="0"/>
              <w:jc w:val="center"/>
              <w:rPr>
                <w:b/>
                <w:bCs/>
                <w:sz w:val="21"/>
                <w:szCs w:val="21"/>
              </w:rPr>
            </w:pPr>
            <w:r>
              <w:rPr>
                <w:rFonts w:hint="eastAsia"/>
                <w:b/>
                <w:bCs/>
                <w:sz w:val="21"/>
                <w:szCs w:val="21"/>
              </w:rPr>
              <w:t>总计</w:t>
            </w:r>
          </w:p>
        </w:tc>
        <w:tc>
          <w:tcPr>
            <w:tcW w:w="692" w:type="pct"/>
          </w:tcPr>
          <w:p>
            <w:pPr>
              <w:spacing w:line="240" w:lineRule="auto"/>
              <w:ind w:firstLine="0" w:firstLineChars="0"/>
              <w:jc w:val="center"/>
              <w:rPr>
                <w:b/>
                <w:bCs/>
                <w:sz w:val="21"/>
                <w:szCs w:val="21"/>
              </w:rPr>
            </w:pPr>
          </w:p>
        </w:tc>
        <w:tc>
          <w:tcPr>
            <w:tcW w:w="731" w:type="pct"/>
            <w:vAlign w:val="center"/>
          </w:tcPr>
          <w:p>
            <w:pPr>
              <w:spacing w:line="240" w:lineRule="auto"/>
              <w:ind w:firstLine="0" w:firstLineChars="0"/>
              <w:jc w:val="center"/>
              <w:rPr>
                <w:b/>
                <w:bCs/>
                <w:sz w:val="21"/>
                <w:szCs w:val="21"/>
              </w:rPr>
            </w:pPr>
            <w:r>
              <w:rPr>
                <w:b/>
                <w:bCs/>
                <w:sz w:val="21"/>
                <w:szCs w:val="21"/>
              </w:rPr>
              <w:t>50</w:t>
            </w:r>
          </w:p>
        </w:tc>
      </w:tr>
    </w:tbl>
    <w:p>
      <w:pPr>
        <w:numPr>
          <w:ilvl w:val="0"/>
          <w:numId w:val="0"/>
        </w:numPr>
        <w:ind w:leftChars="200"/>
        <w:rPr>
          <w:rFonts w:hint="eastAsia" w:ascii="黑体" w:hAnsi="黑体" w:eastAsia="黑体" w:cs="黑体"/>
          <w:bCs/>
          <w:sz w:val="32"/>
          <w:szCs w:val="32"/>
          <w:lang w:val="en-US" w:eastAsia="zh-CN"/>
        </w:rPr>
      </w:pPr>
    </w:p>
    <w:p>
      <w:pPr>
        <w:numPr>
          <w:ilvl w:val="0"/>
          <w:numId w:val="0"/>
        </w:numPr>
        <w:ind w:leftChars="200"/>
        <w:rPr>
          <w:rFonts w:hint="default" w:ascii="仿宋" w:hAnsi="仿宋" w:eastAsia="仿宋" w:cs="仿宋"/>
          <w:bCs/>
          <w:sz w:val="32"/>
          <w:szCs w:val="32"/>
          <w:lang w:val="en-US" w:eastAsia="zh-CN"/>
        </w:rPr>
      </w:pPr>
    </w:p>
    <w:p>
      <w:pPr>
        <w:jc w:val="righ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南澳县自然资源局</w:t>
      </w:r>
    </w:p>
    <w:p>
      <w:pPr>
        <w:jc w:val="right"/>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2022年3月30日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auto"/>
    <w:pitch w:val="default"/>
    <w:sig w:usb0="00000000" w:usb1="00000000" w:usb2="00000009" w:usb3="00000000" w:csb0="200001FF" w:csb1="00000000"/>
  </w:font>
  <w:font w:name="Cambria">
    <w:panose1 w:val="02040503050406030204"/>
    <w:charset w:val="00"/>
    <w:family w:val="roman"/>
    <w:pitch w:val="default"/>
    <w:sig w:usb0="E00002FF" w:usb1="400004FF" w:usb2="00000000" w:usb3="00000000" w:csb0="2000019F" w:csb1="00000000"/>
  </w:font>
  <w:font w:name="方正小标宋简体">
    <w:altName w:val="黑体"/>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0AA042"/>
    <w:multiLevelType w:val="singleLevel"/>
    <w:tmpl w:val="870AA042"/>
    <w:lvl w:ilvl="0" w:tentative="0">
      <w:start w:val="2"/>
      <w:numFmt w:val="decimal"/>
      <w:suff w:val="nothing"/>
      <w:lvlText w:val="%1、"/>
      <w:lvlJc w:val="left"/>
    </w:lvl>
  </w:abstractNum>
  <w:abstractNum w:abstractNumId="1">
    <w:nsid w:val="07B8B60C"/>
    <w:multiLevelType w:val="singleLevel"/>
    <w:tmpl w:val="07B8B60C"/>
    <w:lvl w:ilvl="0" w:tentative="0">
      <w:start w:val="1"/>
      <w:numFmt w:val="chineseCounting"/>
      <w:suff w:val="nothing"/>
      <w:lvlText w:val="%1、"/>
      <w:lvlJc w:val="left"/>
      <w:rPr>
        <w:rFonts w:hint="eastAsia" w:ascii="黑体" w:hAnsi="黑体" w:eastAsia="黑体" w:cs="黑体"/>
      </w:rPr>
    </w:lvl>
  </w:abstractNum>
  <w:abstractNum w:abstractNumId="2">
    <w:nsid w:val="5DD74822"/>
    <w:multiLevelType w:val="multilevel"/>
    <w:tmpl w:val="5DD74822"/>
    <w:lvl w:ilvl="0" w:tentative="0">
      <w:start w:val="1"/>
      <w:numFmt w:val="decimal"/>
      <w:lvlText w:val="%1"/>
      <w:lvlJc w:val="left"/>
      <w:pPr>
        <w:ind w:left="432" w:hanging="432"/>
      </w:pPr>
    </w:lvl>
    <w:lvl w:ilvl="1" w:tentative="0">
      <w:start w:val="1"/>
      <w:numFmt w:val="decimal"/>
      <w:pStyle w:val="2"/>
      <w:lvlText w:val="%1.%2"/>
      <w:lvlJc w:val="left"/>
      <w:pPr>
        <w:ind w:left="576" w:hanging="576"/>
      </w:p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3">
    <w:nsid w:val="68E795DE"/>
    <w:multiLevelType w:val="singleLevel"/>
    <w:tmpl w:val="68E795DE"/>
    <w:lvl w:ilvl="0" w:tentative="0">
      <w:start w:val="1"/>
      <w:numFmt w:val="chineseCounting"/>
      <w:suff w:val="nothing"/>
      <w:lvlText w:val="（%1）"/>
      <w:lvlJc w:val="left"/>
      <w:pPr>
        <w:ind w:left="580" w:leftChars="0" w:firstLine="0" w:firstLineChars="0"/>
      </w:pPr>
      <w:rPr>
        <w:rFonts w:hint="eastAsia"/>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C66C1A"/>
    <w:rsid w:val="07AE658A"/>
    <w:rsid w:val="16D12A9A"/>
    <w:rsid w:val="17132BB3"/>
    <w:rsid w:val="21A968CD"/>
    <w:rsid w:val="3A20368C"/>
    <w:rsid w:val="41BC2EE4"/>
    <w:rsid w:val="4CCD25AB"/>
    <w:rsid w:val="5B0C126A"/>
    <w:rsid w:val="6A4A2D80"/>
    <w:rsid w:val="74691F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numPr>
        <w:ilvl w:val="1"/>
        <w:numId w:val="1"/>
      </w:numPr>
      <w:spacing w:before="260" w:after="260" w:line="415" w:lineRule="auto"/>
      <w:ind w:left="0" w:firstLine="0" w:firstLineChars="0"/>
      <w:outlineLvl w:val="1"/>
    </w:pPr>
    <w:rPr>
      <w:rFonts w:asciiTheme="majorHAnsi" w:hAnsiTheme="majorHAnsi" w:eastAsiaTheme="majorEastAsia" w:cstheme="majorBidi"/>
      <w:b/>
      <w:bCs/>
      <w:sz w:val="32"/>
      <w:szCs w:val="32"/>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caption"/>
    <w:basedOn w:val="1"/>
    <w:next w:val="1"/>
    <w:qFormat/>
    <w:uiPriority w:val="0"/>
    <w:pPr>
      <w:widowControl/>
      <w:spacing w:after="200" w:line="276" w:lineRule="auto"/>
      <w:ind w:firstLine="480"/>
      <w:jc w:val="left"/>
    </w:pPr>
    <w:rPr>
      <w:rFonts w:ascii="Cambria" w:hAnsi="Cambria" w:eastAsia="黑体"/>
      <w:kern w:val="0"/>
      <w:sz w:val="20"/>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22"/>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emf"/><Relationship Id="rId4" Type="http://schemas.openxmlformats.org/officeDocument/2006/relationships/image" Target="media/image1.emf"/><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4492</Words>
  <Characters>4624</Characters>
  <Lines>0</Lines>
  <Paragraphs>0</Paragraphs>
  <TotalTime>2</TotalTime>
  <ScaleCrop>false</ScaleCrop>
  <LinksUpToDate>false</LinksUpToDate>
  <CharactersWithSpaces>4692</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2022-03-10T09:23:00Z</dcterms:created>
  <dc:creator>asus</dc:creator>
  <cp:lastModifiedBy>林桦</cp:lastModifiedBy>
  <cp:lastPrinted>2022-03-30T02:14:00Z</cp:lastPrinted>
  <dcterms:modified xsi:type="dcterms:W3CDTF">2022-04-14T01:38:39Z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y fmtid="{D5CDD505-2E9C-101B-9397-08002B2CF9AE}" pid="3" name="ICV">
    <vt:lpwstr>CDFAC90C44B945C59F5C1B92E14A5130</vt:lpwstr>
  </property>
</Properties>
</file>