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4F" w:rsidRDefault="00802E4F" w:rsidP="005F6180">
      <w:pPr>
        <w:spacing w:line="560" w:lineRule="exact"/>
        <w:jc w:val="center"/>
        <w:rPr>
          <w:rFonts w:ascii="方正小标宋简体" w:eastAsia="方正小标宋简体" w:hAnsi="宋体" w:cs="宋体"/>
          <w:sz w:val="36"/>
          <w:szCs w:val="36"/>
        </w:rPr>
      </w:pPr>
    </w:p>
    <w:p w:rsidR="00802E4F" w:rsidRPr="005F6180" w:rsidRDefault="00802E4F" w:rsidP="005F6180">
      <w:pPr>
        <w:spacing w:line="720" w:lineRule="exact"/>
        <w:jc w:val="center"/>
        <w:rPr>
          <w:rFonts w:ascii="方正小标宋简体" w:eastAsia="方正小标宋简体" w:hAnsi="宋体" w:cs="宋体"/>
          <w:sz w:val="44"/>
          <w:szCs w:val="44"/>
        </w:rPr>
      </w:pPr>
      <w:r w:rsidRPr="005F6180">
        <w:rPr>
          <w:rFonts w:ascii="方正小标宋简体" w:eastAsia="方正小标宋简体" w:hAnsi="宋体" w:cs="宋体" w:hint="eastAsia"/>
          <w:sz w:val="44"/>
          <w:szCs w:val="44"/>
        </w:rPr>
        <w:t>南澳县县城镇学校教师到农村学校援教的实施意见</w:t>
      </w:r>
    </w:p>
    <w:p w:rsidR="00802E4F" w:rsidRDefault="00802E4F" w:rsidP="005F6180">
      <w:pPr>
        <w:spacing w:line="560" w:lineRule="exact"/>
        <w:ind w:firstLineChars="200" w:firstLine="600"/>
        <w:rPr>
          <w:rFonts w:ascii="仿宋_GB2312" w:eastAsia="仿宋_GB2312" w:hAnsi="宋体" w:cs="宋体"/>
          <w:sz w:val="30"/>
          <w:szCs w:val="30"/>
        </w:rPr>
      </w:pP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为贯彻落实《中共中央国务院关于全面深化新时代教师队伍建设改革的意见》（中发[2018]4号）和《国务院关于统筹推</w:t>
      </w:r>
      <w:bookmarkStart w:id="0" w:name="_GoBack"/>
      <w:r w:rsidRPr="005F6180">
        <w:rPr>
          <w:rFonts w:ascii="仿宋_GB2312" w:eastAsia="仿宋_GB2312" w:hAnsi="宋体" w:cs="宋体" w:hint="eastAsia"/>
          <w:sz w:val="32"/>
          <w:szCs w:val="32"/>
        </w:rPr>
        <w:t>进县城内城乡义务教育一体化改革发展的若干意见》（国发</w:t>
      </w:r>
      <w:bookmarkEnd w:id="0"/>
      <w:r w:rsidRPr="005F6180">
        <w:rPr>
          <w:rFonts w:ascii="仿宋_GB2312" w:eastAsia="仿宋_GB2312" w:hAnsi="宋体" w:cs="宋体" w:hint="eastAsia"/>
          <w:sz w:val="32"/>
          <w:szCs w:val="32"/>
        </w:rPr>
        <w:t>[2016]40号）精神，切实加强我县农村学校教师队伍建设，优化教师资源配置，促进城乡义务教育一体化发展，确保学科教师的均衡配置和教育系统整体教学工作的需要，鼓励教师积极到农村学校援教，特制订本实施意见。</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t>一、指导思想</w:t>
      </w:r>
    </w:p>
    <w:p w:rsidR="00802E4F" w:rsidRPr="005F6180" w:rsidRDefault="00802E4F" w:rsidP="005F6180">
      <w:pPr>
        <w:pStyle w:val="a5"/>
        <w:spacing w:line="560" w:lineRule="exact"/>
        <w:rPr>
          <w:rFonts w:hAnsi="宋体"/>
          <w:szCs w:val="32"/>
        </w:rPr>
      </w:pPr>
      <w:r w:rsidRPr="005F6180">
        <w:rPr>
          <w:rFonts w:hAnsi="宋体" w:hint="eastAsia"/>
          <w:color w:val="000000"/>
          <w:szCs w:val="32"/>
        </w:rPr>
        <w:t>全面贯彻落实党的十九大精神，以习近平新时代中国特色社会主义思想为指导，全面贯彻党的教育方针，坚持社会主义办学方向，落实立德树人根本任务，遵循教育规律和教师成长发展规律，加强师德师风建设，进一步增强教育内部活力，优化教育人力资源配置，逐步缩小城镇与农村学校之间师资力量的差距，促进我县城乡教育均衡发展，进一步巩固教育创强成果，推进教育现代化建设。</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t>二、援教范围、对象、年限</w:t>
      </w:r>
    </w:p>
    <w:p w:rsidR="00802E4F" w:rsidRPr="005F6180" w:rsidRDefault="00802E4F" w:rsidP="005F6180">
      <w:pPr>
        <w:spacing w:line="560" w:lineRule="exact"/>
        <w:ind w:firstLineChars="100" w:firstLine="320"/>
        <w:rPr>
          <w:rFonts w:ascii="仿宋_GB2312" w:eastAsia="仿宋_GB2312" w:cs="宋体"/>
          <w:sz w:val="32"/>
          <w:szCs w:val="32"/>
        </w:rPr>
      </w:pPr>
      <w:r w:rsidRPr="005F6180">
        <w:rPr>
          <w:rFonts w:ascii="仿宋_GB2312" w:eastAsia="仿宋_GB2312" w:hAnsi="宋体" w:cs="宋体" w:hint="eastAsia"/>
          <w:sz w:val="32"/>
          <w:szCs w:val="32"/>
        </w:rPr>
        <w:t>（一）援教范围：农村学校，指云澳、深澳、青澳等地的中、小学校。</w:t>
      </w:r>
    </w:p>
    <w:p w:rsidR="00802E4F" w:rsidRPr="005F6180" w:rsidRDefault="00802E4F" w:rsidP="005F6180">
      <w:pPr>
        <w:spacing w:line="560" w:lineRule="exact"/>
        <w:ind w:firstLineChars="100" w:firstLine="320"/>
        <w:rPr>
          <w:rFonts w:ascii="仿宋_GB2312" w:eastAsia="仿宋_GB2312" w:cs="宋体"/>
          <w:sz w:val="32"/>
          <w:szCs w:val="32"/>
        </w:rPr>
      </w:pPr>
      <w:r w:rsidRPr="005F6180">
        <w:rPr>
          <w:rFonts w:ascii="仿宋_GB2312" w:eastAsia="仿宋_GB2312" w:hAnsi="宋体" w:cs="宋体" w:hint="eastAsia"/>
          <w:sz w:val="32"/>
          <w:szCs w:val="32"/>
        </w:rPr>
        <w:t>（二）援教对象：已被选聘录用分配到“县城镇”学校的新任教师和无农村学校任教经历的，女教师年龄在48岁以</w:t>
      </w:r>
      <w:r w:rsidRPr="005F6180">
        <w:rPr>
          <w:rFonts w:ascii="仿宋_GB2312" w:eastAsia="仿宋_GB2312" w:hAnsi="宋体" w:cs="宋体" w:hint="eastAsia"/>
          <w:sz w:val="32"/>
          <w:szCs w:val="32"/>
        </w:rPr>
        <w:lastRenderedPageBreak/>
        <w:t>下、男教师年龄在52岁以下、身体健康没有特殊情况者。</w:t>
      </w:r>
    </w:p>
    <w:p w:rsidR="00802E4F" w:rsidRPr="005F6180" w:rsidRDefault="00802E4F" w:rsidP="005F6180">
      <w:pPr>
        <w:spacing w:line="560" w:lineRule="exact"/>
        <w:ind w:firstLineChars="150" w:firstLine="480"/>
        <w:rPr>
          <w:rFonts w:ascii="仿宋_GB2312" w:eastAsia="仿宋_GB2312" w:cs="宋体"/>
          <w:sz w:val="32"/>
          <w:szCs w:val="32"/>
        </w:rPr>
      </w:pPr>
      <w:r w:rsidRPr="005F6180">
        <w:rPr>
          <w:rFonts w:ascii="仿宋_GB2312" w:eastAsia="仿宋_GB2312" w:hAnsi="宋体" w:cs="宋体" w:hint="eastAsia"/>
          <w:sz w:val="32"/>
          <w:szCs w:val="32"/>
        </w:rPr>
        <w:t>（三）援教年限：一年。</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t>三、援教教师的选派</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（一）每年7月31日，县城镇各学校（除西山小学、羊屿学校外）根据学校实际，负责开列学校符合援教条件的教师名单报告县教育局人秘股。</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（二）援教教师采取自愿报名方式，如自愿报名援教教师未能达到农村学校所需学科配置，学校按照有关要求从援教对象中遴选。</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（三）县教育局人秘股根据学校学科配置需要及自愿报名参加援教教师名单，提出援教教师人选报县教育局教师调配领导小组审核确定，并进行公示。</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（四）属哺乳期、怀孕期、丧偶、病残及家庭有特殊困难等情况的，由学校出具相关证明及提供佐证，经核实后可作为特殊情况处理。</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t>四、援教教师的任务</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 xml:space="preserve">援教教师必须完成受援学校安排的教育教学工作，承担学科教学和班级管理任务，积极参加教研活动，充分发挥示范作用，带动受援学校学科教学水平和育人管理能力，在教育教学工作中取得好的成绩。 </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t>五、援教教师的管理</w:t>
      </w:r>
    </w:p>
    <w:p w:rsidR="00802E4F" w:rsidRPr="005F6180" w:rsidRDefault="00802E4F" w:rsidP="005F6180">
      <w:pPr>
        <w:spacing w:line="560" w:lineRule="exact"/>
        <w:ind w:firstLineChars="200" w:firstLine="640"/>
        <w:rPr>
          <w:rFonts w:ascii="仿宋_GB2312" w:eastAsia="仿宋_GB2312" w:cs="宋体"/>
          <w:sz w:val="32"/>
          <w:szCs w:val="32"/>
        </w:rPr>
      </w:pPr>
      <w:r w:rsidRPr="005F6180">
        <w:rPr>
          <w:rFonts w:ascii="仿宋_GB2312" w:eastAsia="仿宋_GB2312" w:hAnsi="宋体" w:cs="宋体" w:hint="eastAsia"/>
          <w:sz w:val="32"/>
          <w:szCs w:val="32"/>
        </w:rPr>
        <w:t>援教教师在援教工作期间，由县教育局、派援学校与受援学校共同管理，受援学校负责援教教师的日常管理、服务工作。</w:t>
      </w:r>
    </w:p>
    <w:p w:rsidR="00802E4F" w:rsidRPr="005F6180" w:rsidRDefault="00802E4F" w:rsidP="005F6180">
      <w:pPr>
        <w:spacing w:line="560" w:lineRule="exact"/>
        <w:ind w:firstLineChars="200" w:firstLine="643"/>
        <w:rPr>
          <w:rFonts w:ascii="仿宋_GB2312" w:eastAsia="仿宋_GB2312" w:cs="宋体"/>
          <w:b/>
          <w:sz w:val="32"/>
          <w:szCs w:val="32"/>
        </w:rPr>
      </w:pPr>
      <w:r w:rsidRPr="005F6180">
        <w:rPr>
          <w:rFonts w:ascii="仿宋_GB2312" w:eastAsia="仿宋_GB2312" w:hAnsi="宋体" w:cs="宋体" w:hint="eastAsia"/>
          <w:b/>
          <w:sz w:val="32"/>
          <w:szCs w:val="32"/>
        </w:rPr>
        <w:lastRenderedPageBreak/>
        <w:t>六、奖励与处罚</w:t>
      </w:r>
    </w:p>
    <w:p w:rsidR="00802E4F" w:rsidRPr="005F6180" w:rsidRDefault="00802E4F" w:rsidP="005F6180">
      <w:pPr>
        <w:spacing w:line="560" w:lineRule="exact"/>
        <w:ind w:firstLineChars="100" w:firstLine="320"/>
        <w:rPr>
          <w:rFonts w:ascii="仿宋_GB2312" w:eastAsia="仿宋_GB2312"/>
          <w:sz w:val="32"/>
          <w:szCs w:val="32"/>
        </w:rPr>
      </w:pPr>
      <w:r w:rsidRPr="005F6180">
        <w:rPr>
          <w:rFonts w:ascii="仿宋_GB2312" w:eastAsia="仿宋_GB2312" w:hAnsi="宋体" w:hint="eastAsia"/>
          <w:sz w:val="32"/>
          <w:szCs w:val="32"/>
        </w:rPr>
        <w:t>（一）援教教师援教期间享受津贴补贴按照有关规定执行，</w:t>
      </w:r>
    </w:p>
    <w:p w:rsidR="00802E4F" w:rsidRPr="005F6180" w:rsidRDefault="00802E4F" w:rsidP="005F6180">
      <w:pPr>
        <w:pStyle w:val="a5"/>
        <w:spacing w:line="560" w:lineRule="exact"/>
        <w:ind w:firstLineChars="0" w:firstLine="0"/>
        <w:rPr>
          <w:rFonts w:hAnsi="宋体"/>
          <w:szCs w:val="32"/>
        </w:rPr>
      </w:pPr>
      <w:r w:rsidRPr="005F6180">
        <w:rPr>
          <w:rFonts w:hAnsi="宋体" w:hint="eastAsia"/>
          <w:szCs w:val="32"/>
        </w:rPr>
        <w:t>交通费用由学校根据实际并按照有关规定给予补助。</w:t>
      </w:r>
    </w:p>
    <w:p w:rsidR="00802E4F" w:rsidRPr="005F6180" w:rsidRDefault="00802E4F" w:rsidP="005F6180">
      <w:pPr>
        <w:spacing w:line="560" w:lineRule="exact"/>
        <w:ind w:firstLineChars="100" w:firstLine="320"/>
        <w:rPr>
          <w:rFonts w:ascii="仿宋_GB2312" w:eastAsia="仿宋_GB2312"/>
          <w:sz w:val="32"/>
          <w:szCs w:val="32"/>
        </w:rPr>
      </w:pPr>
      <w:r w:rsidRPr="005F6180">
        <w:rPr>
          <w:rFonts w:ascii="仿宋_GB2312" w:eastAsia="仿宋_GB2312" w:hAnsi="宋体" w:hint="eastAsia"/>
          <w:sz w:val="32"/>
          <w:szCs w:val="32"/>
        </w:rPr>
        <w:t>（二）受援学校负责对援教教师进行考核，对认真履行岗位职责的援教教师，绩效考核一律按照优良等次评定。对援教教师在援教期间不认真履行岗位职责，所教学科成绩严重下降的，考核不合格者，按有关规定处理并进行通报。</w:t>
      </w:r>
    </w:p>
    <w:p w:rsidR="00802E4F" w:rsidRPr="005F6180" w:rsidRDefault="00802E4F" w:rsidP="005F6180">
      <w:pPr>
        <w:spacing w:line="560" w:lineRule="exact"/>
        <w:ind w:firstLineChars="150" w:firstLine="480"/>
        <w:rPr>
          <w:rFonts w:ascii="仿宋_GB2312" w:eastAsia="仿宋_GB2312"/>
          <w:sz w:val="32"/>
          <w:szCs w:val="32"/>
        </w:rPr>
      </w:pPr>
      <w:r w:rsidRPr="005F6180">
        <w:rPr>
          <w:rFonts w:ascii="仿宋_GB2312" w:eastAsia="仿宋_GB2312" w:hAnsi="宋体" w:hint="eastAsia"/>
          <w:sz w:val="32"/>
          <w:szCs w:val="32"/>
        </w:rPr>
        <w:t>（三）援教教师在援教一年中教学成绩突出的，提高幅度大，工作表现好，由受援学校推荐，报县教育局评定，发给其援教教师教学奖。</w:t>
      </w:r>
    </w:p>
    <w:p w:rsidR="00802E4F" w:rsidRPr="005F6180" w:rsidRDefault="00802E4F" w:rsidP="005F6180">
      <w:pPr>
        <w:spacing w:line="560" w:lineRule="exact"/>
        <w:ind w:firstLineChars="150" w:firstLine="480"/>
        <w:rPr>
          <w:rFonts w:ascii="仿宋_GB2312" w:eastAsia="仿宋_GB2312"/>
          <w:sz w:val="32"/>
          <w:szCs w:val="32"/>
        </w:rPr>
      </w:pPr>
      <w:r w:rsidRPr="005F6180">
        <w:rPr>
          <w:rFonts w:ascii="仿宋_GB2312" w:eastAsia="仿宋_GB2312" w:hAnsi="宋体" w:hint="eastAsia"/>
          <w:sz w:val="32"/>
          <w:szCs w:val="32"/>
        </w:rPr>
        <w:t>（四）根据《广东省深化中小学教师职称制度改革实施方案》（粤人社规[2016]5号），关于高级教师评价标准的规定，城镇中小学教师要有1年以上的薄弱学校或农村学校任教经历。任现职期间在乡镇以下学校任教的教师，在同等条件下，可优先评审。并按《关于开展2018年汕头市教育系统先进集体和汕头市优秀教师评选推荐工作的通知》(汕市教[2018]78号)的要求，各区县教育部门要切实落实好省、市在评先评优工作文件中有关向农村中小学倾斜的鼓励政策。认真履行岗位职责、表现优秀的援教教师，在评先、职称晋升、入党等方面一律给予重点倾斜，并作为评先及年度考核评定为“优秀”等次的先决条件。年度考核“优秀”等次人员中援教教师须占一定比例。</w:t>
      </w:r>
    </w:p>
    <w:p w:rsidR="00802E4F" w:rsidRPr="005F6180" w:rsidRDefault="00802E4F" w:rsidP="005F6180">
      <w:pPr>
        <w:spacing w:line="560" w:lineRule="exact"/>
        <w:ind w:firstLineChars="150" w:firstLine="480"/>
        <w:rPr>
          <w:rFonts w:ascii="仿宋_GB2312" w:eastAsia="仿宋_GB2312"/>
          <w:sz w:val="32"/>
          <w:szCs w:val="32"/>
        </w:rPr>
      </w:pPr>
      <w:r w:rsidRPr="005F6180">
        <w:rPr>
          <w:rFonts w:ascii="仿宋_GB2312" w:eastAsia="仿宋_GB2312" w:hAnsi="宋体" w:hint="eastAsia"/>
          <w:sz w:val="32"/>
          <w:szCs w:val="32"/>
        </w:rPr>
        <w:t>（五）对于援教对象不服从工作调配的，或在援教期间存在问题的，按照有关规定处理。</w:t>
      </w:r>
    </w:p>
    <w:p w:rsidR="00802E4F" w:rsidRPr="005F6180" w:rsidRDefault="00802E4F" w:rsidP="005F6180">
      <w:pPr>
        <w:spacing w:line="560" w:lineRule="exact"/>
        <w:ind w:leftChars="200" w:left="420"/>
        <w:rPr>
          <w:rFonts w:ascii="仿宋_GB2312" w:eastAsia="仿宋_GB2312"/>
          <w:sz w:val="32"/>
          <w:szCs w:val="32"/>
        </w:rPr>
      </w:pPr>
      <w:r w:rsidRPr="005F6180">
        <w:rPr>
          <w:rFonts w:ascii="仿宋_GB2312" w:eastAsia="仿宋_GB2312" w:hAnsi="宋体" w:hint="eastAsia"/>
          <w:sz w:val="32"/>
          <w:szCs w:val="32"/>
        </w:rPr>
        <w:t>七、本实施方案由县教育局教师调配领导小组负责解释。</w:t>
      </w:r>
    </w:p>
    <w:p w:rsidR="00802E4F" w:rsidRPr="005F6180" w:rsidRDefault="00802E4F" w:rsidP="005F6180">
      <w:pPr>
        <w:spacing w:line="560" w:lineRule="exact"/>
        <w:ind w:leftChars="200" w:left="420"/>
        <w:rPr>
          <w:rFonts w:ascii="仿宋_GB2312" w:eastAsia="仿宋_GB2312"/>
          <w:sz w:val="32"/>
          <w:szCs w:val="32"/>
        </w:rPr>
      </w:pPr>
      <w:r w:rsidRPr="005F6180">
        <w:rPr>
          <w:rFonts w:ascii="仿宋_GB2312" w:eastAsia="仿宋_GB2312" w:hAnsi="宋体" w:hint="eastAsia"/>
          <w:sz w:val="32"/>
          <w:szCs w:val="32"/>
        </w:rPr>
        <w:t>八、本实施方案自印发之日起执行。</w:t>
      </w:r>
    </w:p>
    <w:p w:rsidR="00802E4F" w:rsidRPr="005F6180" w:rsidRDefault="00802E4F" w:rsidP="005F6180">
      <w:pPr>
        <w:spacing w:line="560" w:lineRule="exact"/>
        <w:ind w:leftChars="200" w:left="420"/>
        <w:rPr>
          <w:rFonts w:ascii="仿宋_GB2312" w:eastAsia="仿宋_GB2312"/>
          <w:sz w:val="32"/>
          <w:szCs w:val="32"/>
        </w:rPr>
      </w:pPr>
    </w:p>
    <w:p w:rsidR="00802E4F" w:rsidRPr="005F6180" w:rsidRDefault="00802E4F" w:rsidP="005F6180">
      <w:pPr>
        <w:spacing w:line="560" w:lineRule="exact"/>
        <w:ind w:leftChars="200" w:left="420"/>
        <w:rPr>
          <w:rFonts w:ascii="仿宋_GB2312" w:eastAsia="仿宋_GB2312"/>
          <w:sz w:val="32"/>
          <w:szCs w:val="32"/>
        </w:rPr>
      </w:pPr>
    </w:p>
    <w:p w:rsidR="00802E4F" w:rsidRPr="005F6180" w:rsidRDefault="00802E4F" w:rsidP="005F6180">
      <w:pPr>
        <w:spacing w:line="560" w:lineRule="exact"/>
        <w:ind w:leftChars="200" w:left="420"/>
        <w:rPr>
          <w:rFonts w:ascii="仿宋_GB2312" w:eastAsia="仿宋_GB2312"/>
          <w:sz w:val="32"/>
          <w:szCs w:val="32"/>
        </w:rPr>
      </w:pPr>
    </w:p>
    <w:p w:rsidR="00802E4F" w:rsidRDefault="00802E4F"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5F6180" w:rsidRDefault="005F6180" w:rsidP="005F6180">
      <w:pPr>
        <w:spacing w:line="560" w:lineRule="exact"/>
        <w:rPr>
          <w:rFonts w:ascii="仿宋_GB2312" w:eastAsia="仿宋_GB2312" w:cs="宋体"/>
          <w:sz w:val="32"/>
          <w:szCs w:val="32"/>
        </w:rPr>
      </w:pPr>
    </w:p>
    <w:p w:rsidR="00476C39" w:rsidRDefault="001F6E01" w:rsidP="00476C39">
      <w:pPr>
        <w:spacing w:line="560" w:lineRule="exact"/>
        <w:rPr>
          <w:rFonts w:ascii="仿宋_GB2312" w:eastAsia="仿宋_GB2312" w:cs="宋体"/>
          <w:sz w:val="32"/>
          <w:szCs w:val="32"/>
        </w:rPr>
      </w:pPr>
      <w:r w:rsidRPr="001F6E01">
        <w:rPr>
          <w:noProof/>
        </w:rPr>
        <w:pict>
          <v:shapetype id="_x0000_t32" coordsize="21600,21600" o:spt="32" o:oned="t" path="m,l21600,21600e" filled="f">
            <v:path arrowok="t" fillok="f" o:connecttype="none"/>
            <o:lock v:ext="edit" shapetype="t"/>
          </v:shapetype>
          <v:shape id="_x0000_s2052" type="#_x0000_t32" style="position:absolute;left:0;text-align:left;margin-left:-18.75pt;margin-top:27pt;width:468.8pt;height:0;z-index:251658240" o:connectortype="straight"/>
        </w:pict>
      </w:r>
    </w:p>
    <w:p w:rsidR="005F6180" w:rsidRPr="005F6180" w:rsidRDefault="001F6E01" w:rsidP="00476C39">
      <w:pPr>
        <w:spacing w:line="560" w:lineRule="exact"/>
        <w:rPr>
          <w:rFonts w:ascii="仿宋_GB2312" w:eastAsia="仿宋_GB2312" w:cs="宋体"/>
          <w:sz w:val="32"/>
          <w:szCs w:val="32"/>
        </w:rPr>
      </w:pPr>
      <w:r w:rsidRPr="001F6E01">
        <w:rPr>
          <w:noProof/>
        </w:rPr>
        <w:pict>
          <v:shape id="_x0000_s2054" type="#_x0000_t32" style="position:absolute;left:0;text-align:left;margin-left:-18.75pt;margin-top:32.75pt;width:468.8pt;height:0;z-index:251659264" o:connectortype="straight"/>
        </w:pict>
      </w:r>
      <w:r w:rsidR="00476C39">
        <w:rPr>
          <w:rFonts w:ascii="仿宋_GB2312" w:eastAsia="仿宋_GB2312" w:cs="宋体" w:hint="eastAsia"/>
          <w:sz w:val="32"/>
          <w:szCs w:val="32"/>
        </w:rPr>
        <w:t>抄送：</w:t>
      </w:r>
      <w:r w:rsidR="002A7CE4">
        <w:rPr>
          <w:rFonts w:ascii="仿宋_GB2312" w:eastAsia="仿宋_GB2312" w:cs="宋体" w:hint="eastAsia"/>
          <w:sz w:val="32"/>
          <w:szCs w:val="32"/>
        </w:rPr>
        <w:t>县政府办、县法制局</w:t>
      </w:r>
    </w:p>
    <w:sectPr w:rsidR="005F6180" w:rsidRPr="005F6180" w:rsidSect="00651B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180" w:rsidRDefault="005F6180" w:rsidP="000A717B">
      <w:r>
        <w:separator/>
      </w:r>
    </w:p>
  </w:endnote>
  <w:endnote w:type="continuationSeparator" w:id="0">
    <w:p w:rsidR="005F6180" w:rsidRDefault="005F6180" w:rsidP="000A7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180" w:rsidRDefault="001F6E01">
    <w:pPr>
      <w:pStyle w:val="a4"/>
      <w:jc w:val="center"/>
    </w:pPr>
    <w:r w:rsidRPr="00C568F7">
      <w:rPr>
        <w:sz w:val="24"/>
        <w:szCs w:val="24"/>
      </w:rPr>
      <w:fldChar w:fldCharType="begin"/>
    </w:r>
    <w:r w:rsidR="005F6180" w:rsidRPr="00C568F7">
      <w:rPr>
        <w:sz w:val="24"/>
        <w:szCs w:val="24"/>
      </w:rPr>
      <w:instrText xml:space="preserve"> PAGE   \* MERGEFORMAT </w:instrText>
    </w:r>
    <w:r w:rsidRPr="00C568F7">
      <w:rPr>
        <w:sz w:val="24"/>
        <w:szCs w:val="24"/>
      </w:rPr>
      <w:fldChar w:fldCharType="separate"/>
    </w:r>
    <w:r w:rsidR="002A7CE4" w:rsidRPr="002A7CE4">
      <w:rPr>
        <w:noProof/>
        <w:sz w:val="24"/>
        <w:szCs w:val="24"/>
        <w:lang w:val="zh-CN"/>
      </w:rPr>
      <w:t>4</w:t>
    </w:r>
    <w:r w:rsidRPr="00C568F7">
      <w:rPr>
        <w:sz w:val="24"/>
        <w:szCs w:val="24"/>
      </w:rPr>
      <w:fldChar w:fldCharType="end"/>
    </w:r>
  </w:p>
  <w:p w:rsidR="005F6180" w:rsidRDefault="005F61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180" w:rsidRDefault="005F6180" w:rsidP="000A717B">
      <w:r>
        <w:separator/>
      </w:r>
    </w:p>
  </w:footnote>
  <w:footnote w:type="continuationSeparator" w:id="0">
    <w:p w:rsidR="005F6180" w:rsidRDefault="005F6180" w:rsidP="000A7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13EAF"/>
    <w:multiLevelType w:val="singleLevel"/>
    <w:tmpl w:val="4AB13EAF"/>
    <w:lvl w:ilvl="0">
      <w:start w:val="1"/>
      <w:numFmt w:val="chineseCounting"/>
      <w:suff w:val="nothing"/>
      <w:lvlText w:val="（%1）"/>
      <w:lvlJc w:val="left"/>
      <w:rPr>
        <w:rFonts w:cs="Times New Roman"/>
      </w:rPr>
    </w:lvl>
  </w:abstractNum>
  <w:abstractNum w:abstractNumId="1">
    <w:nsid w:val="4AB14195"/>
    <w:multiLevelType w:val="singleLevel"/>
    <w:tmpl w:val="4AB14195"/>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fillcolor="none [3212]">
      <v:fill color="none [3212]"/>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B7B"/>
    <w:rsid w:val="000A717B"/>
    <w:rsid w:val="000B3A39"/>
    <w:rsid w:val="000B6BFC"/>
    <w:rsid w:val="00136F32"/>
    <w:rsid w:val="00147BB1"/>
    <w:rsid w:val="001A328F"/>
    <w:rsid w:val="001D379C"/>
    <w:rsid w:val="001D5219"/>
    <w:rsid w:val="001F6E01"/>
    <w:rsid w:val="00286693"/>
    <w:rsid w:val="002A7CE4"/>
    <w:rsid w:val="00324B58"/>
    <w:rsid w:val="003A7D2F"/>
    <w:rsid w:val="003B021B"/>
    <w:rsid w:val="003B7695"/>
    <w:rsid w:val="003E7EE8"/>
    <w:rsid w:val="0042603A"/>
    <w:rsid w:val="00476C39"/>
    <w:rsid w:val="00480C95"/>
    <w:rsid w:val="00484516"/>
    <w:rsid w:val="004F501C"/>
    <w:rsid w:val="005E0D8A"/>
    <w:rsid w:val="005F6180"/>
    <w:rsid w:val="006339C7"/>
    <w:rsid w:val="00650B9B"/>
    <w:rsid w:val="00651B7B"/>
    <w:rsid w:val="00715D95"/>
    <w:rsid w:val="00732F32"/>
    <w:rsid w:val="00775C02"/>
    <w:rsid w:val="00791E41"/>
    <w:rsid w:val="00802E4F"/>
    <w:rsid w:val="00830DE7"/>
    <w:rsid w:val="008B6B7E"/>
    <w:rsid w:val="009A75CE"/>
    <w:rsid w:val="00A16CAB"/>
    <w:rsid w:val="00AE2664"/>
    <w:rsid w:val="00AF5F8A"/>
    <w:rsid w:val="00B71568"/>
    <w:rsid w:val="00BF6EB3"/>
    <w:rsid w:val="00C46433"/>
    <w:rsid w:val="00C568F7"/>
    <w:rsid w:val="00D051F4"/>
    <w:rsid w:val="00D178BA"/>
    <w:rsid w:val="00DC67BF"/>
    <w:rsid w:val="00DE1432"/>
    <w:rsid w:val="00E20513"/>
    <w:rsid w:val="00ED0AD2"/>
    <w:rsid w:val="00F443C6"/>
    <w:rsid w:val="05F04BFF"/>
    <w:rsid w:val="06877E60"/>
    <w:rsid w:val="10BF1B01"/>
    <w:rsid w:val="1FFD3C29"/>
    <w:rsid w:val="2AA735B5"/>
    <w:rsid w:val="3F03231C"/>
    <w:rsid w:val="40B6250A"/>
    <w:rsid w:val="4A7F62B0"/>
    <w:rsid w:val="4EF03941"/>
    <w:rsid w:val="4F922C5D"/>
    <w:rsid w:val="51074908"/>
    <w:rsid w:val="52C91A67"/>
    <w:rsid w:val="544911F6"/>
    <w:rsid w:val="5AA80D5F"/>
    <w:rsid w:val="60E32471"/>
    <w:rsid w:val="698B31FC"/>
    <w:rsid w:val="6F127A71"/>
    <w:rsid w:val="73FC37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fillcolor="none [3212]">
      <v:fill color="none [3212]"/>
      <o:colormenu v:ext="edit" fillcolor="none [3212]"/>
    </o:shapedefaults>
    <o:shapelayout v:ext="edit">
      <o:idmap v:ext="edit" data="2"/>
      <o:rules v:ext="edit">
        <o:r id="V:Rule3" type="connector" idref="#_x0000_s2052"/>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7B"/>
    <w:pPr>
      <w:widowControl w:val="0"/>
      <w:jc w:val="both"/>
    </w:pPr>
    <w:rPr>
      <w:szCs w:val="24"/>
    </w:rPr>
  </w:style>
  <w:style w:type="paragraph" w:styleId="1">
    <w:name w:val="heading 1"/>
    <w:basedOn w:val="a"/>
    <w:link w:val="1Char"/>
    <w:uiPriority w:val="99"/>
    <w:qFormat/>
    <w:rsid w:val="00791E4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91E41"/>
    <w:rPr>
      <w:rFonts w:ascii="宋体" w:eastAsia="宋体" w:hAnsi="宋体" w:cs="宋体"/>
      <w:b/>
      <w:bCs/>
      <w:kern w:val="36"/>
      <w:sz w:val="48"/>
      <w:szCs w:val="48"/>
    </w:rPr>
  </w:style>
  <w:style w:type="paragraph" w:styleId="a3">
    <w:name w:val="header"/>
    <w:basedOn w:val="a"/>
    <w:link w:val="Char"/>
    <w:uiPriority w:val="99"/>
    <w:rsid w:val="000A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A717B"/>
    <w:rPr>
      <w:rFonts w:cs="Times New Roman"/>
      <w:kern w:val="2"/>
      <w:sz w:val="18"/>
      <w:szCs w:val="18"/>
    </w:rPr>
  </w:style>
  <w:style w:type="paragraph" w:styleId="a4">
    <w:name w:val="footer"/>
    <w:basedOn w:val="a"/>
    <w:link w:val="Char0"/>
    <w:uiPriority w:val="99"/>
    <w:rsid w:val="000A717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A717B"/>
    <w:rPr>
      <w:rFonts w:cs="Times New Roman"/>
      <w:kern w:val="2"/>
      <w:sz w:val="18"/>
      <w:szCs w:val="18"/>
    </w:rPr>
  </w:style>
  <w:style w:type="paragraph" w:styleId="a5">
    <w:name w:val="Body Text Indent"/>
    <w:basedOn w:val="a"/>
    <w:link w:val="Char1"/>
    <w:uiPriority w:val="99"/>
    <w:rsid w:val="000A717B"/>
    <w:pPr>
      <w:ind w:firstLineChars="200" w:firstLine="640"/>
    </w:pPr>
    <w:rPr>
      <w:rFonts w:ascii="仿宋_GB2312" w:eastAsia="仿宋_GB2312" w:hAnsi="Times New Roman"/>
      <w:sz w:val="32"/>
    </w:rPr>
  </w:style>
  <w:style w:type="character" w:customStyle="1" w:styleId="Char1">
    <w:name w:val="正文文本缩进 Char"/>
    <w:basedOn w:val="a0"/>
    <w:link w:val="a5"/>
    <w:uiPriority w:val="99"/>
    <w:locked/>
    <w:rsid w:val="000A717B"/>
    <w:rPr>
      <w:rFonts w:ascii="仿宋_GB2312" w:eastAsia="仿宋_GB2312" w:hAnsi="Times New Roman" w:cs="Times New Roman"/>
      <w:kern w:val="2"/>
      <w:sz w:val="24"/>
      <w:szCs w:val="24"/>
    </w:rPr>
  </w:style>
  <w:style w:type="character" w:styleId="a6">
    <w:name w:val="Hyperlink"/>
    <w:basedOn w:val="a0"/>
    <w:uiPriority w:val="99"/>
    <w:rsid w:val="00791E41"/>
    <w:rPr>
      <w:rFonts w:cs="Times New Roman"/>
      <w:color w:val="0000FF"/>
      <w:u w:val="single"/>
    </w:rPr>
  </w:style>
  <w:style w:type="character" w:customStyle="1" w:styleId="apple-converted-space">
    <w:name w:val="apple-converted-space"/>
    <w:basedOn w:val="a0"/>
    <w:uiPriority w:val="99"/>
    <w:rsid w:val="00791E41"/>
    <w:rPr>
      <w:rFonts w:cs="Times New Roman"/>
    </w:rPr>
  </w:style>
</w:styles>
</file>

<file path=word/webSettings.xml><?xml version="1.0" encoding="utf-8"?>
<w:webSettings xmlns:r="http://schemas.openxmlformats.org/officeDocument/2006/relationships" xmlns:w="http://schemas.openxmlformats.org/wordprocessingml/2006/main">
  <w:divs>
    <w:div w:id="1620453642">
      <w:marLeft w:val="0"/>
      <w:marRight w:val="0"/>
      <w:marTop w:val="0"/>
      <w:marBottom w:val="0"/>
      <w:divBdr>
        <w:top w:val="none" w:sz="0" w:space="0" w:color="auto"/>
        <w:left w:val="none" w:sz="0" w:space="0" w:color="auto"/>
        <w:bottom w:val="none" w:sz="0" w:space="0" w:color="auto"/>
        <w:right w:val="none" w:sz="0" w:space="0" w:color="auto"/>
      </w:divBdr>
      <w:divsChild>
        <w:div w:id="1620453641">
          <w:marLeft w:val="0"/>
          <w:marRight w:val="0"/>
          <w:marTop w:val="180"/>
          <w:marBottom w:val="0"/>
          <w:divBdr>
            <w:top w:val="dashed" w:sz="6" w:space="0" w:color="AAA6A7"/>
            <w:left w:val="none" w:sz="0" w:space="0" w:color="auto"/>
            <w:bottom w:val="dashed" w:sz="6" w:space="0" w:color="AAA6A7"/>
            <w:right w:val="none" w:sz="0" w:space="0" w:color="auto"/>
          </w:divBdr>
        </w:div>
      </w:divsChild>
    </w:div>
    <w:div w:id="1620453643">
      <w:marLeft w:val="0"/>
      <w:marRight w:val="0"/>
      <w:marTop w:val="0"/>
      <w:marBottom w:val="0"/>
      <w:divBdr>
        <w:top w:val="none" w:sz="0" w:space="0" w:color="auto"/>
        <w:left w:val="none" w:sz="0" w:space="0" w:color="auto"/>
        <w:bottom w:val="none" w:sz="0" w:space="0" w:color="auto"/>
        <w:right w:val="none" w:sz="0" w:space="0" w:color="auto"/>
      </w:divBdr>
      <w:divsChild>
        <w:div w:id="1620453644">
          <w:marLeft w:val="0"/>
          <w:marRight w:val="0"/>
          <w:marTop w:val="180"/>
          <w:marBottom w:val="0"/>
          <w:divBdr>
            <w:top w:val="dashed" w:sz="6" w:space="0" w:color="AAA6A7"/>
            <w:left w:val="none" w:sz="0" w:space="0" w:color="auto"/>
            <w:bottom w:val="dashed" w:sz="6" w:space="0" w:color="AAA6A7"/>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1769CE-D81F-4230-8716-369AD5E5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1514</Words>
  <Characters>83</Characters>
  <Application>Microsoft Office Word</Application>
  <DocSecurity>0</DocSecurity>
  <Lines>1</Lines>
  <Paragraphs>3</Paragraphs>
  <ScaleCrop>false</ScaleCrop>
  <Company>Hewlett-Packard Company</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25</cp:revision>
  <cp:lastPrinted>2018-09-06T02:38:00Z</cp:lastPrinted>
  <dcterms:created xsi:type="dcterms:W3CDTF">2014-10-29T12:08:00Z</dcterms:created>
  <dcterms:modified xsi:type="dcterms:W3CDTF">2018-09-06T02:38:00Z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